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932EC" w14:textId="11C883E1" w:rsidR="00593680" w:rsidRDefault="00AF4AB4">
      <w:pPr>
        <w:pStyle w:val="Proposal"/>
        <w:numPr>
          <w:ilvl w:val="0"/>
          <w:numId w:val="0"/>
        </w:numPr>
        <w:snapToGrid w:val="0"/>
        <w:ind w:left="1701" w:hanging="1701"/>
        <w:rPr>
          <w:rFonts w:ascii="Times New Roman" w:hAnsi="Times New Roman" w:cs="Times New Roman"/>
          <w:b w:val="0"/>
          <w:bCs w:val="0"/>
          <w:sz w:val="22"/>
        </w:rPr>
      </w:pPr>
      <w:bookmarkStart w:id="0" w:name="OLE_LINK2"/>
      <w:bookmarkStart w:id="1" w:name="OLE_LINK1"/>
      <w:r>
        <w:rPr>
          <w:rFonts w:ascii="Times New Roman" w:hAnsi="Times New Roman" w:cs="Times New Roman"/>
          <w:sz w:val="22"/>
        </w:rPr>
        <w:t>3GPP TSG RAN WG1 #106e</w:t>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t xml:space="preserve">                                       </w:t>
      </w:r>
      <w:r w:rsidR="00575177">
        <w:rPr>
          <w:rFonts w:ascii="Times New Roman" w:hAnsi="Times New Roman" w:cs="Times New Roman"/>
          <w:sz w:val="22"/>
        </w:rPr>
        <w:t xml:space="preserve"> </w:t>
      </w:r>
      <w:bookmarkStart w:id="2" w:name="_GoBack"/>
      <w:bookmarkEnd w:id="2"/>
      <w:r>
        <w:rPr>
          <w:rFonts w:ascii="Times New Roman" w:hAnsi="Times New Roman" w:cs="Times New Roman"/>
          <w:sz w:val="22"/>
        </w:rPr>
        <w:t>R1-2107779</w:t>
      </w:r>
    </w:p>
    <w:p w14:paraId="199380BF" w14:textId="77777777" w:rsidR="00593680" w:rsidRDefault="00AF4AB4">
      <w:pPr>
        <w:pStyle w:val="Proposal"/>
        <w:numPr>
          <w:ilvl w:val="0"/>
          <w:numId w:val="0"/>
        </w:numPr>
        <w:snapToGrid w:val="0"/>
        <w:ind w:left="1701" w:hanging="1701"/>
        <w:rPr>
          <w:rFonts w:ascii="Times New Roman" w:hAnsi="Times New Roman" w:cs="Times New Roman"/>
          <w:b w:val="0"/>
          <w:bCs w:val="0"/>
          <w:sz w:val="22"/>
        </w:rPr>
      </w:pPr>
      <w:r>
        <w:rPr>
          <w:rFonts w:ascii="Times New Roman" w:hAnsi="Times New Roman" w:cs="Times New Roman"/>
          <w:sz w:val="22"/>
        </w:rPr>
        <w:t>e-Meeting, Aug 16</w:t>
      </w:r>
      <w:r>
        <w:rPr>
          <w:rFonts w:ascii="Times New Roman" w:hAnsi="Times New Roman" w:cs="Times New Roman"/>
          <w:sz w:val="22"/>
          <w:vertAlign w:val="superscript"/>
        </w:rPr>
        <w:t>th</w:t>
      </w:r>
      <w:r>
        <w:rPr>
          <w:rFonts w:ascii="Times New Roman" w:hAnsi="Times New Roman" w:cs="Times New Roman"/>
          <w:sz w:val="22"/>
        </w:rPr>
        <w:t xml:space="preserve"> –27</w:t>
      </w:r>
      <w:r>
        <w:rPr>
          <w:rFonts w:ascii="Times New Roman" w:hAnsi="Times New Roman" w:cs="Times New Roman"/>
          <w:sz w:val="22"/>
          <w:vertAlign w:val="superscript"/>
        </w:rPr>
        <w:t>th</w:t>
      </w:r>
      <w:r>
        <w:rPr>
          <w:rFonts w:ascii="Times New Roman" w:hAnsi="Times New Roman" w:cs="Times New Roman"/>
          <w:sz w:val="22"/>
        </w:rPr>
        <w:t>, 2021</w:t>
      </w:r>
    </w:p>
    <w:p w14:paraId="4ABEE059" w14:textId="77777777" w:rsidR="00593680" w:rsidRDefault="00593680">
      <w:pPr>
        <w:pStyle w:val="3GPPHeader"/>
        <w:snapToGrid w:val="0"/>
        <w:rPr>
          <w:rFonts w:ascii="Times New Roman" w:hAnsi="Times New Roman" w:cs="Times New Roman"/>
          <w:sz w:val="22"/>
        </w:rPr>
      </w:pPr>
    </w:p>
    <w:p w14:paraId="17B1A2AE" w14:textId="77777777" w:rsidR="00593680" w:rsidRDefault="00AF4AB4">
      <w:pPr>
        <w:pStyle w:val="3GPPHeader"/>
        <w:snapToGrid w:val="0"/>
        <w:rPr>
          <w:rFonts w:ascii="Times New Roman" w:hAnsi="Times New Roman" w:cs="Times New Roman"/>
          <w:sz w:val="22"/>
        </w:rPr>
      </w:pPr>
      <w:r>
        <w:rPr>
          <w:rFonts w:ascii="Times New Roman" w:hAnsi="Times New Roman" w:cs="Times New Roman"/>
          <w:sz w:val="22"/>
        </w:rPr>
        <w:t>Source:</w:t>
      </w:r>
      <w:r>
        <w:rPr>
          <w:rFonts w:ascii="Times New Roman" w:hAnsi="Times New Roman" w:cs="Times New Roman"/>
          <w:sz w:val="22"/>
        </w:rPr>
        <w:tab/>
        <w:t>ZTE</w:t>
      </w:r>
    </w:p>
    <w:p w14:paraId="14BAB9B7" w14:textId="77777777" w:rsidR="00593680" w:rsidRDefault="00AF4AB4">
      <w:pPr>
        <w:pStyle w:val="3GPPHeader"/>
        <w:snapToGrid w:val="0"/>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t>Discussion on the synchronization for IoT-NTN</w:t>
      </w:r>
    </w:p>
    <w:p w14:paraId="5A73666A" w14:textId="77777777" w:rsidR="00593680" w:rsidRDefault="00AF4AB4">
      <w:pPr>
        <w:pStyle w:val="3GPPHeader"/>
        <w:snapToGrid w:val="0"/>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8.15.1</w:t>
      </w:r>
    </w:p>
    <w:p w14:paraId="182CCE8C" w14:textId="77777777" w:rsidR="00593680" w:rsidRDefault="00AF4AB4">
      <w:pPr>
        <w:pBdr>
          <w:bottom w:val="single" w:sz="6" w:space="1" w:color="auto"/>
        </w:pBdr>
        <w:snapToGrid w:val="0"/>
        <w:rPr>
          <w:rFonts w:ascii="Times New Roman" w:hAnsi="Times New Roman" w:cs="Times New Roman"/>
          <w:b/>
        </w:rPr>
      </w:pPr>
      <w:r>
        <w:rPr>
          <w:rFonts w:ascii="Times New Roman" w:hAnsi="Times New Roman" w:cs="Times New Roman"/>
          <w:b/>
        </w:rPr>
        <w:t>Document for:  Discussion</w:t>
      </w:r>
      <w:bookmarkEnd w:id="0"/>
      <w:bookmarkEnd w:id="1"/>
    </w:p>
    <w:p w14:paraId="09FC82C4" w14:textId="77777777" w:rsidR="00593680" w:rsidRDefault="00AF4AB4">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3" w:name="_Ref18181"/>
      <w:r>
        <w:rPr>
          <w:rFonts w:ascii="Times New Roman" w:eastAsia="黑体" w:hAnsi="Times New Roman" w:cs="Times New Roman"/>
          <w:b/>
          <w:bCs/>
          <w:sz w:val="28"/>
          <w:szCs w:val="30"/>
          <w:lang w:val="en-US"/>
        </w:rPr>
        <w:t>Introduction</w:t>
      </w:r>
      <w:bookmarkEnd w:id="3"/>
    </w:p>
    <w:p w14:paraId="37314BA1" w14:textId="77777777" w:rsidR="00593680" w:rsidRDefault="00AF4AB4">
      <w:pPr>
        <w:spacing w:afterLines="50" w:after="120" w:line="240" w:lineRule="auto"/>
        <w:ind w:firstLine="4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sz w:val="20"/>
          <w:szCs w:val="20"/>
          <w:lang w:val="en-GB"/>
        </w:rPr>
        <w:t>n RAN</w:t>
      </w:r>
      <w:r>
        <w:rPr>
          <w:rFonts w:ascii="Times New Roman" w:hAnsi="Times New Roman" w:cs="Times New Roman"/>
          <w:sz w:val="20"/>
          <w:szCs w:val="20"/>
        </w:rPr>
        <w:t xml:space="preserve">#92e meeting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_Ref3756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IoT-NTN WI has been endorsed with following scope in RAN1:</w:t>
      </w:r>
    </w:p>
    <w:p w14:paraId="792F42B1" w14:textId="77777777" w:rsidR="00593680" w:rsidRDefault="00AF4AB4">
      <w:pPr>
        <w:ind w:leftChars="200" w:left="440"/>
        <w:rPr>
          <w:rFonts w:ascii="Times New Roman" w:hAnsi="Times New Roman" w:cs="Times New Roman"/>
          <w:i/>
          <w:sz w:val="20"/>
          <w:szCs w:val="20"/>
        </w:rPr>
      </w:pPr>
      <w:r>
        <w:rPr>
          <w:rFonts w:ascii="Times New Roman" w:hAnsi="Times New Roman" w:cs="Times New Roman"/>
          <w:i/>
          <w:sz w:val="20"/>
          <w:szCs w:val="20"/>
        </w:rPr>
        <w:t xml:space="preserve">Specify the following time and frequency synchronization enhancements, using NR_NTN_solutions WI agreements as baseline, according to Section 8 in TR 36.763: </w:t>
      </w:r>
    </w:p>
    <w:p w14:paraId="251E6D06"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UE pre-compensation including ephemeris format (orbital / Position -Velocity)</w:t>
      </w:r>
    </w:p>
    <w:p w14:paraId="1B49483D"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UE pre-compensa</w:t>
      </w:r>
      <w:r>
        <w:rPr>
          <w:rFonts w:ascii="Times New Roman" w:hAnsi="Times New Roman" w:cs="Times New Roman"/>
          <w:i/>
          <w:sz w:val="20"/>
          <w:szCs w:val="20"/>
        </w:rPr>
        <w:t xml:space="preserve">tion for UL synchronization in RRC_IDLE and RRC_CONNECTED states based at least on its GNSS-acquired position and the serving satellite ephemeris </w:t>
      </w:r>
    </w:p>
    <w:p w14:paraId="65650375"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Timing advance formula (granularity of the timing advance may be different)</w:t>
      </w:r>
    </w:p>
    <w:p w14:paraId="6F427B4A"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 xml:space="preserve">Combination of Open (i.e. UE </w:t>
      </w:r>
      <w:r>
        <w:rPr>
          <w:rFonts w:ascii="Times New Roman" w:hAnsi="Times New Roman" w:cs="Times New Roman"/>
          <w:i/>
          <w:sz w:val="20"/>
          <w:szCs w:val="20"/>
        </w:rPr>
        <w:t>autonomous TA estimation, and common TA estimation) and Closed TA (i.e., received TA commands) control loops in RRC_CONNECTED state</w:t>
      </w:r>
    </w:p>
    <w:p w14:paraId="6480B347" w14:textId="77777777" w:rsidR="00593680" w:rsidRDefault="00AF4AB4">
      <w:pPr>
        <w:ind w:leftChars="200" w:left="440"/>
        <w:rPr>
          <w:rFonts w:ascii="Times New Roman" w:hAnsi="Times New Roman" w:cs="Times New Roman"/>
          <w:i/>
          <w:sz w:val="20"/>
          <w:szCs w:val="20"/>
        </w:rPr>
      </w:pPr>
      <w:r>
        <w:rPr>
          <w:rFonts w:ascii="Times New Roman" w:hAnsi="Times New Roman" w:cs="Times New Roman"/>
          <w:i/>
          <w:sz w:val="20"/>
          <w:szCs w:val="20"/>
        </w:rPr>
        <w:t xml:space="preserve">Agreements on the above are up to the decision in NR_NTN_Solutions WI and will be used for IoT NTN with minimum changes, if </w:t>
      </w:r>
      <w:r>
        <w:rPr>
          <w:rFonts w:ascii="Times New Roman" w:hAnsi="Times New Roman" w:cs="Times New Roman"/>
          <w:i/>
          <w:sz w:val="20"/>
          <w:szCs w:val="20"/>
        </w:rPr>
        <w:t xml:space="preserve">any. </w:t>
      </w:r>
    </w:p>
    <w:p w14:paraId="386A8C20" w14:textId="77777777" w:rsidR="00593680" w:rsidRDefault="00AF4AB4">
      <w:pPr>
        <w:ind w:leftChars="200" w:left="440"/>
        <w:rPr>
          <w:rFonts w:ascii="Times New Roman" w:hAnsi="Times New Roman" w:cs="Times New Roman"/>
          <w:i/>
          <w:sz w:val="20"/>
          <w:szCs w:val="20"/>
        </w:rPr>
      </w:pPr>
      <w:r>
        <w:rPr>
          <w:rFonts w:ascii="Times New Roman" w:hAnsi="Times New Roman" w:cs="Times New Roman"/>
          <w:i/>
          <w:sz w:val="20"/>
          <w:szCs w:val="20"/>
        </w:rPr>
        <w:t>Specify the following time and frequency synchronization enhancements that are not covered by NR_NTN_Solutions WI agreements, according to Section 8 in TR 36.763:</w:t>
      </w:r>
    </w:p>
    <w:p w14:paraId="6A8E7F97"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Long PUSCH and PRACH Transmission enhancements: segmented UE pre-compensations, new U</w:t>
      </w:r>
      <w:r>
        <w:rPr>
          <w:rFonts w:ascii="Times New Roman" w:hAnsi="Times New Roman" w:cs="Times New Roman"/>
          <w:i/>
          <w:sz w:val="20"/>
          <w:szCs w:val="20"/>
        </w:rPr>
        <w:t>L gaps and/or implementation solutions, time units and duration of segments.</w:t>
      </w:r>
    </w:p>
    <w:p w14:paraId="77C1A722"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Validity timer for UL synchronization: satellite ephemeris, and potentially other aspects</w:t>
      </w:r>
    </w:p>
    <w:p w14:paraId="5B35B70A"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r>
      <w:r>
        <w:rPr>
          <w:rFonts w:ascii="Times New Roman" w:hAnsi="Times New Roman" w:cs="Times New Roman"/>
          <w:i/>
          <w:sz w:val="20"/>
          <w:szCs w:val="20"/>
        </w:rPr>
        <w:t xml:space="preserve">DL synchronization enhancements: A single solution will be selected between: new channel raster, (part of) ARFCN-indication-in-MIB. </w:t>
      </w:r>
    </w:p>
    <w:p w14:paraId="36BBE5DB" w14:textId="77777777" w:rsidR="00593680" w:rsidRDefault="00AF4AB4">
      <w:pPr>
        <w:ind w:leftChars="400" w:left="88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GNSS Measurements: Validity of a GNSS position fix and details of acquiring a GNSS position fix, duration of validity, in</w:t>
      </w:r>
      <w:r>
        <w:rPr>
          <w:rFonts w:ascii="Times New Roman" w:hAnsi="Times New Roman" w:cs="Times New Roman"/>
          <w:i/>
          <w:sz w:val="20"/>
          <w:szCs w:val="20"/>
        </w:rPr>
        <w:t xml:space="preserve"> RRC CONNECTED mode for sporadic short transmission</w:t>
      </w:r>
    </w:p>
    <w:p w14:paraId="616DD9A0" w14:textId="77777777" w:rsidR="00593680" w:rsidRDefault="00AF4AB4">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sz w:val="20"/>
          <w:szCs w:val="20"/>
        </w:rPr>
        <w:t>In this contribution, views on the details to address the issues on the synchronization enhancements for IoT-NTN are elaborated with corresponding analysis.</w:t>
      </w:r>
    </w:p>
    <w:p w14:paraId="4E42AB83" w14:textId="77777777" w:rsidR="00593680" w:rsidRDefault="00AF4AB4">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DL synchronization</w:t>
      </w:r>
    </w:p>
    <w:p w14:paraId="6EBA9901" w14:textId="77777777" w:rsidR="00593680" w:rsidRDefault="00AF4AB4">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As mentioned above, for impr</w:t>
      </w:r>
      <w:r>
        <w:rPr>
          <w:rFonts w:ascii="Times New Roman" w:eastAsia="宋体" w:hAnsi="Times New Roman" w:cs="Times New Roman"/>
          <w:sz w:val="20"/>
          <w:szCs w:val="20"/>
        </w:rPr>
        <w:t>oving the DL synchronization performance, one of following solution will be selected:</w:t>
      </w:r>
    </w:p>
    <w:p w14:paraId="078CA218" w14:textId="77777777" w:rsidR="00593680" w:rsidRDefault="00AF4AB4">
      <w:pPr>
        <w:numPr>
          <w:ilvl w:val="1"/>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New Channel raster with a step size increased to be greater than 100 kHz </w:t>
      </w:r>
    </w:p>
    <w:p w14:paraId="39332765" w14:textId="77777777" w:rsidR="00593680" w:rsidRDefault="00AF4AB4">
      <w:pPr>
        <w:numPr>
          <w:ilvl w:val="1"/>
          <w:numId w:val="5"/>
        </w:numPr>
        <w:spacing w:after="0" w:line="240" w:lineRule="auto"/>
        <w:rPr>
          <w:rFonts w:ascii="Times New Roman" w:hAnsi="Times New Roman" w:cs="Times New Roman"/>
        </w:rPr>
      </w:pPr>
      <w:r>
        <w:rPr>
          <w:rFonts w:ascii="Times New Roman" w:hAnsi="Times New Roman" w:cs="Times New Roman"/>
          <w:i/>
          <w:iCs/>
          <w:sz w:val="20"/>
          <w:szCs w:val="20"/>
          <w:lang w:eastAsia="ko-KR"/>
        </w:rPr>
        <w:t>(part of) ARFCN-indication-in-MIB</w:t>
      </w:r>
    </w:p>
    <w:p w14:paraId="7A7B1BC3" w14:textId="77777777" w:rsidR="00593680" w:rsidRDefault="00AF4AB4">
      <w:pPr>
        <w:tabs>
          <w:tab w:val="left" w:pos="2609"/>
        </w:tabs>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IoT over NTN, the larger frequency error would impair the </w:t>
      </w:r>
      <w:r>
        <w:rPr>
          <w:rFonts w:ascii="Times New Roman" w:eastAsia="宋体" w:hAnsi="Times New Roman" w:cs="Times New Roman"/>
          <w:sz w:val="20"/>
          <w:szCs w:val="20"/>
        </w:rPr>
        <w:t>initial DL synchronization performance by consideration of UE’s oscillator error as 20 ppm and Doppler shift as 19.95 ppm (e.g., LEO-600, 1700 km beam diameter for nadir beam), which will lead to frequency offset larger than half of the current channel ras</w:t>
      </w:r>
      <w:r>
        <w:rPr>
          <w:rFonts w:ascii="Times New Roman" w:eastAsia="宋体" w:hAnsi="Times New Roman" w:cs="Times New Roman"/>
          <w:sz w:val="20"/>
          <w:szCs w:val="20"/>
        </w:rPr>
        <w:t>ter, i.e., 100 kHz. For enabling the cell searching in the initial stage, increasing on the step size of channel raster (e.g., 200kHz) should be supported.</w:t>
      </w:r>
    </w:p>
    <w:p w14:paraId="5FE51261" w14:textId="77777777" w:rsidR="00593680" w:rsidRDefault="00AF4AB4">
      <w:pPr>
        <w:tabs>
          <w:tab w:val="left" w:pos="2609"/>
        </w:tabs>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Based on the assumption of increased channel raster size, evaluations on the DL synchronization perf</w:t>
      </w:r>
      <w:r>
        <w:rPr>
          <w:rFonts w:ascii="Times New Roman" w:eastAsia="宋体" w:hAnsi="Times New Roman" w:cs="Times New Roman"/>
          <w:sz w:val="20"/>
          <w:szCs w:val="20"/>
        </w:rPr>
        <w:t xml:space="preserve">ormance with pre-compensation of beam-level common frequency shift for all scenarios are conducted. In the evaluations, the simulation parameters are same as those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_Ref32385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where central beam edge elevation angles are assumed, i.e., 27 degrees, 23.8 degrees and 30 degrees for satellite parameters Set-1, Set-2 and Set-3, respectively. As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_Ref25626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robust DL synchronization performance including detection probability, synchronization latency and residual frequency offset can be achieved for all targeted scenarios. In IoT over NTN, lager time and frequency offset degrade the DL synchronizati</w:t>
      </w:r>
      <w:r>
        <w:rPr>
          <w:rFonts w:ascii="Times New Roman" w:eastAsia="宋体" w:hAnsi="Times New Roman" w:cs="Times New Roman"/>
          <w:sz w:val="20"/>
          <w:szCs w:val="20"/>
        </w:rPr>
        <w:t xml:space="preserve">on performance. However, the time and frequency offset can still be corrected with better CNR with increased complexity for NPSS signal detection.  </w:t>
      </w:r>
    </w:p>
    <w:p w14:paraId="71FF0DE5" w14:textId="77777777" w:rsidR="00593680" w:rsidRDefault="00AF4AB4">
      <w:pPr>
        <w:pStyle w:val="a3"/>
        <w:tabs>
          <w:tab w:val="left" w:pos="2609"/>
        </w:tabs>
        <w:spacing w:beforeLines="50" w:before="120" w:afterLines="50"/>
        <w:ind w:leftChars="200" w:left="440"/>
      </w:pPr>
      <w:bookmarkStart w:id="4" w:name="_Ref25626"/>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4"/>
      <w:r>
        <w:rPr>
          <w:b w:val="0"/>
          <w:bCs w:val="0"/>
        </w:rPr>
        <w:t xml:space="preserve"> </w:t>
      </w:r>
      <w:r>
        <w:rPr>
          <w:b w:val="0"/>
          <w:bCs w:val="0"/>
          <w:lang w:val="en-US"/>
        </w:rPr>
        <w:t>Simulation results for DL</w:t>
      </w:r>
      <w:r>
        <w:rPr>
          <w:b w:val="0"/>
          <w:bCs w:val="0"/>
        </w:rPr>
        <w:t xml:space="preserve"> synchronization performance</w:t>
      </w:r>
    </w:p>
    <w:tbl>
      <w:tblPr>
        <w:tblStyle w:val="ab"/>
        <w:tblW w:w="0" w:type="auto"/>
        <w:jc w:val="center"/>
        <w:tblLayout w:type="fixed"/>
        <w:tblLook w:val="04A0" w:firstRow="1" w:lastRow="0" w:firstColumn="1" w:lastColumn="0" w:noHBand="0" w:noVBand="1"/>
      </w:tblPr>
      <w:tblGrid>
        <w:gridCol w:w="2717"/>
        <w:gridCol w:w="1930"/>
        <w:gridCol w:w="2030"/>
        <w:gridCol w:w="1977"/>
      </w:tblGrid>
      <w:tr w:rsidR="00593680" w14:paraId="330C5949" w14:textId="77777777">
        <w:trPr>
          <w:jc w:val="center"/>
        </w:trPr>
        <w:tc>
          <w:tcPr>
            <w:tcW w:w="2717" w:type="dxa"/>
          </w:tcPr>
          <w:p w14:paraId="60C4F14B"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Scenarios</w:t>
            </w:r>
            <w:r>
              <w:rPr>
                <w:rFonts w:ascii="Times New Roman" w:eastAsia="宋体" w:hAnsi="Times New Roman" w:cs="Times New Roman"/>
                <w:sz w:val="20"/>
                <w:szCs w:val="20"/>
              </w:rPr>
              <w:t xml:space="preserve"> for all satellite parameters</w:t>
            </w:r>
          </w:p>
        </w:tc>
        <w:tc>
          <w:tcPr>
            <w:tcW w:w="1930" w:type="dxa"/>
          </w:tcPr>
          <w:p w14:paraId="7E69A1AF"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Set-1</w:t>
            </w:r>
          </w:p>
        </w:tc>
        <w:tc>
          <w:tcPr>
            <w:tcW w:w="2030" w:type="dxa"/>
          </w:tcPr>
          <w:p w14:paraId="356CB5CE"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Set-2</w:t>
            </w:r>
          </w:p>
        </w:tc>
        <w:tc>
          <w:tcPr>
            <w:tcW w:w="1977" w:type="dxa"/>
          </w:tcPr>
          <w:p w14:paraId="268763CC"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Set-3</w:t>
            </w:r>
          </w:p>
        </w:tc>
      </w:tr>
      <w:tr w:rsidR="00593680" w14:paraId="31204D0A" w14:textId="77777777">
        <w:trPr>
          <w:jc w:val="center"/>
        </w:trPr>
        <w:tc>
          <w:tcPr>
            <w:tcW w:w="2717" w:type="dxa"/>
          </w:tcPr>
          <w:p w14:paraId="7BCA06A1"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SNR (dB)</w:t>
            </w:r>
          </w:p>
        </w:tc>
        <w:tc>
          <w:tcPr>
            <w:tcW w:w="1930" w:type="dxa"/>
          </w:tcPr>
          <w:p w14:paraId="106D48C6"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3</w:t>
            </w:r>
          </w:p>
        </w:tc>
        <w:tc>
          <w:tcPr>
            <w:tcW w:w="2030" w:type="dxa"/>
          </w:tcPr>
          <w:p w14:paraId="4B8D9830"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-3.7</w:t>
            </w:r>
          </w:p>
        </w:tc>
        <w:tc>
          <w:tcPr>
            <w:tcW w:w="1977" w:type="dxa"/>
          </w:tcPr>
          <w:p w14:paraId="1214557D"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-2.1</w:t>
            </w:r>
          </w:p>
        </w:tc>
      </w:tr>
      <w:tr w:rsidR="00593680" w14:paraId="43126F74" w14:textId="77777777">
        <w:trPr>
          <w:jc w:val="center"/>
        </w:trPr>
        <w:tc>
          <w:tcPr>
            <w:tcW w:w="2717" w:type="dxa"/>
          </w:tcPr>
          <w:p w14:paraId="3F384E0D"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Detection probability</w:t>
            </w:r>
          </w:p>
        </w:tc>
        <w:tc>
          <w:tcPr>
            <w:tcW w:w="1930" w:type="dxa"/>
          </w:tcPr>
          <w:p w14:paraId="6E172542"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100%</w:t>
            </w:r>
          </w:p>
        </w:tc>
        <w:tc>
          <w:tcPr>
            <w:tcW w:w="2030" w:type="dxa"/>
          </w:tcPr>
          <w:p w14:paraId="08FD3B55"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100%</w:t>
            </w:r>
          </w:p>
        </w:tc>
        <w:tc>
          <w:tcPr>
            <w:tcW w:w="1977" w:type="dxa"/>
          </w:tcPr>
          <w:p w14:paraId="75D9E426"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100%</w:t>
            </w:r>
          </w:p>
        </w:tc>
      </w:tr>
      <w:tr w:rsidR="00593680" w14:paraId="144C80C2" w14:textId="77777777">
        <w:trPr>
          <w:jc w:val="center"/>
        </w:trPr>
        <w:tc>
          <w:tcPr>
            <w:tcW w:w="2717" w:type="dxa"/>
          </w:tcPr>
          <w:p w14:paraId="354A937A"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Synchronization Latency (50</w:t>
            </w:r>
            <w:r>
              <w:rPr>
                <w:rFonts w:ascii="Times New Roman" w:eastAsia="宋体" w:hAnsi="Times New Roman" w:cs="Times New Roman"/>
                <w:sz w:val="20"/>
                <w:szCs w:val="20"/>
                <w:vertAlign w:val="superscript"/>
              </w:rPr>
              <w:t>th</w:t>
            </w:r>
            <w:r>
              <w:rPr>
                <w:rFonts w:ascii="Times New Roman" w:eastAsia="宋体" w:hAnsi="Times New Roman" w:cs="Times New Roman"/>
                <w:sz w:val="20"/>
                <w:szCs w:val="20"/>
              </w:rPr>
              <w:t xml:space="preserve"> percentile)</w:t>
            </w:r>
          </w:p>
        </w:tc>
        <w:tc>
          <w:tcPr>
            <w:tcW w:w="1930" w:type="dxa"/>
          </w:tcPr>
          <w:p w14:paraId="09087D19"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10ms</w:t>
            </w:r>
          </w:p>
        </w:tc>
        <w:tc>
          <w:tcPr>
            <w:tcW w:w="2030" w:type="dxa"/>
          </w:tcPr>
          <w:p w14:paraId="25B3F064"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20ms</w:t>
            </w:r>
          </w:p>
        </w:tc>
        <w:tc>
          <w:tcPr>
            <w:tcW w:w="1977" w:type="dxa"/>
          </w:tcPr>
          <w:p w14:paraId="0319EAAC"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20ms</w:t>
            </w:r>
          </w:p>
        </w:tc>
      </w:tr>
      <w:tr w:rsidR="00593680" w14:paraId="187C4803" w14:textId="77777777">
        <w:trPr>
          <w:jc w:val="center"/>
        </w:trPr>
        <w:tc>
          <w:tcPr>
            <w:tcW w:w="2717" w:type="dxa"/>
          </w:tcPr>
          <w:p w14:paraId="55F455C3"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Synchronization Latency (90</w:t>
            </w:r>
            <w:r>
              <w:rPr>
                <w:rFonts w:ascii="Times New Roman" w:eastAsia="宋体" w:hAnsi="Times New Roman" w:cs="Times New Roman"/>
                <w:sz w:val="20"/>
                <w:szCs w:val="20"/>
                <w:vertAlign w:val="superscript"/>
              </w:rPr>
              <w:t>th</w:t>
            </w:r>
            <w:r>
              <w:rPr>
                <w:rFonts w:ascii="Times New Roman" w:eastAsia="宋体" w:hAnsi="Times New Roman" w:cs="Times New Roman"/>
                <w:sz w:val="20"/>
                <w:szCs w:val="20"/>
              </w:rPr>
              <w:t xml:space="preserve"> percentile)</w:t>
            </w:r>
          </w:p>
        </w:tc>
        <w:tc>
          <w:tcPr>
            <w:tcW w:w="1930" w:type="dxa"/>
          </w:tcPr>
          <w:p w14:paraId="198B0F08"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10ms</w:t>
            </w:r>
          </w:p>
        </w:tc>
        <w:tc>
          <w:tcPr>
            <w:tcW w:w="2030" w:type="dxa"/>
          </w:tcPr>
          <w:p w14:paraId="06CC5CAF"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90ms</w:t>
            </w:r>
          </w:p>
        </w:tc>
        <w:tc>
          <w:tcPr>
            <w:tcW w:w="1977" w:type="dxa"/>
          </w:tcPr>
          <w:p w14:paraId="690C5095"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20ms</w:t>
            </w:r>
          </w:p>
        </w:tc>
      </w:tr>
      <w:tr w:rsidR="00593680" w14:paraId="3040E2F4" w14:textId="77777777">
        <w:trPr>
          <w:jc w:val="center"/>
        </w:trPr>
        <w:tc>
          <w:tcPr>
            <w:tcW w:w="2717" w:type="dxa"/>
          </w:tcPr>
          <w:p w14:paraId="72E3536F"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Synchronization Latency (95</w:t>
            </w:r>
            <w:r>
              <w:rPr>
                <w:rFonts w:ascii="Times New Roman" w:eastAsia="宋体" w:hAnsi="Times New Roman" w:cs="Times New Roman"/>
                <w:sz w:val="20"/>
                <w:szCs w:val="20"/>
                <w:vertAlign w:val="superscript"/>
              </w:rPr>
              <w:t>th</w:t>
            </w:r>
            <w:r>
              <w:rPr>
                <w:rFonts w:ascii="Times New Roman" w:eastAsia="宋体" w:hAnsi="Times New Roman" w:cs="Times New Roman"/>
                <w:sz w:val="20"/>
                <w:szCs w:val="20"/>
              </w:rPr>
              <w:t xml:space="preserve"> percentile)</w:t>
            </w:r>
          </w:p>
        </w:tc>
        <w:tc>
          <w:tcPr>
            <w:tcW w:w="1930" w:type="dxa"/>
          </w:tcPr>
          <w:p w14:paraId="1604B9F2"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10ms</w:t>
            </w:r>
          </w:p>
        </w:tc>
        <w:tc>
          <w:tcPr>
            <w:tcW w:w="2030" w:type="dxa"/>
          </w:tcPr>
          <w:p w14:paraId="4E5E2CB0"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105ms</w:t>
            </w:r>
          </w:p>
        </w:tc>
        <w:tc>
          <w:tcPr>
            <w:tcW w:w="1977" w:type="dxa"/>
          </w:tcPr>
          <w:p w14:paraId="0DE5497C"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60ms</w:t>
            </w:r>
          </w:p>
        </w:tc>
      </w:tr>
      <w:tr w:rsidR="00593680" w14:paraId="399B614D" w14:textId="77777777">
        <w:trPr>
          <w:jc w:val="center"/>
        </w:trPr>
        <w:tc>
          <w:tcPr>
            <w:tcW w:w="2717" w:type="dxa"/>
          </w:tcPr>
          <w:p w14:paraId="444F7A5D"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Synchronization Latency (100</w:t>
            </w:r>
            <w:r>
              <w:rPr>
                <w:rFonts w:ascii="Times New Roman" w:eastAsia="宋体" w:hAnsi="Times New Roman" w:cs="Times New Roman"/>
                <w:sz w:val="20"/>
                <w:szCs w:val="20"/>
                <w:vertAlign w:val="superscript"/>
              </w:rPr>
              <w:t>th</w:t>
            </w:r>
            <w:r>
              <w:rPr>
                <w:rFonts w:ascii="Times New Roman" w:eastAsia="宋体" w:hAnsi="Times New Roman" w:cs="Times New Roman"/>
                <w:sz w:val="20"/>
                <w:szCs w:val="20"/>
              </w:rPr>
              <w:t xml:space="preserve"> percentile)</w:t>
            </w:r>
          </w:p>
        </w:tc>
        <w:tc>
          <w:tcPr>
            <w:tcW w:w="1930" w:type="dxa"/>
          </w:tcPr>
          <w:p w14:paraId="381625D1"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20ms</w:t>
            </w:r>
          </w:p>
        </w:tc>
        <w:tc>
          <w:tcPr>
            <w:tcW w:w="2030" w:type="dxa"/>
          </w:tcPr>
          <w:p w14:paraId="44B58935"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220ms</w:t>
            </w:r>
          </w:p>
        </w:tc>
        <w:tc>
          <w:tcPr>
            <w:tcW w:w="1977" w:type="dxa"/>
          </w:tcPr>
          <w:p w14:paraId="035D9EA2"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200ms</w:t>
            </w:r>
          </w:p>
        </w:tc>
      </w:tr>
      <w:tr w:rsidR="00593680" w14:paraId="473B388E" w14:textId="77777777">
        <w:trPr>
          <w:jc w:val="center"/>
        </w:trPr>
        <w:tc>
          <w:tcPr>
            <w:tcW w:w="2717" w:type="dxa"/>
            <w:vAlign w:val="center"/>
          </w:tcPr>
          <w:p w14:paraId="18F0A682"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Residual frequency offset  (95</w:t>
            </w:r>
            <w:r>
              <w:rPr>
                <w:rFonts w:ascii="Times New Roman" w:eastAsia="宋体" w:hAnsi="Times New Roman" w:cs="Times New Roman"/>
                <w:sz w:val="20"/>
                <w:szCs w:val="20"/>
                <w:vertAlign w:val="superscript"/>
              </w:rPr>
              <w:t>th</w:t>
            </w:r>
            <w:r>
              <w:rPr>
                <w:rFonts w:ascii="Times New Roman" w:eastAsia="宋体" w:hAnsi="Times New Roman" w:cs="Times New Roman"/>
                <w:sz w:val="20"/>
                <w:szCs w:val="20"/>
              </w:rPr>
              <w:t xml:space="preserve"> percentile)</w:t>
            </w:r>
          </w:p>
        </w:tc>
        <w:tc>
          <w:tcPr>
            <w:tcW w:w="1930" w:type="dxa"/>
            <w:vAlign w:val="center"/>
          </w:tcPr>
          <w:p w14:paraId="63309367"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-150Hz~150Hz</w:t>
            </w:r>
          </w:p>
        </w:tc>
        <w:tc>
          <w:tcPr>
            <w:tcW w:w="2030" w:type="dxa"/>
            <w:vAlign w:val="center"/>
          </w:tcPr>
          <w:p w14:paraId="5993CFE0"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-235Hz~235Hz</w:t>
            </w:r>
          </w:p>
        </w:tc>
        <w:tc>
          <w:tcPr>
            <w:tcW w:w="1977" w:type="dxa"/>
            <w:vAlign w:val="center"/>
          </w:tcPr>
          <w:p w14:paraId="169AAF13" w14:textId="77777777" w:rsidR="00593680" w:rsidRDefault="00AF4AB4">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t>-240Hz~240Hz</w:t>
            </w:r>
          </w:p>
        </w:tc>
      </w:tr>
    </w:tbl>
    <w:p w14:paraId="45F57275" w14:textId="4D4DDC60" w:rsidR="00593680" w:rsidRDefault="00AF4AB4">
      <w:pPr>
        <w:tabs>
          <w:tab w:val="left" w:pos="2609"/>
        </w:tabs>
        <w:adjustRightInd w:val="0"/>
        <w:snapToGrid w:val="0"/>
        <w:spacing w:beforeLines="50" w:before="120" w:afterLines="50" w:after="120"/>
        <w:ind w:leftChars="200" w:left="440"/>
        <w:jc w:val="both"/>
        <w:rPr>
          <w:rFonts w:ascii="Times New Roman" w:eastAsia="宋体" w:hAnsi="Times New Roman" w:cs="Times New Roman"/>
          <w:kern w:val="2"/>
          <w:sz w:val="20"/>
          <w:szCs w:val="20"/>
        </w:rPr>
      </w:pPr>
      <w:r>
        <w:rPr>
          <w:rFonts w:ascii="Times New Roman" w:eastAsia="宋体" w:hAnsi="Times New Roman" w:cs="Times New Roman"/>
          <w:sz w:val="20"/>
          <w:szCs w:val="20"/>
        </w:rPr>
        <w:t xml:space="preserve">Furthermore, the influence of residual frequency offset after initial DL </w:t>
      </w:r>
      <w:r>
        <w:rPr>
          <w:rFonts w:ascii="Times New Roman" w:eastAsia="宋体" w:hAnsi="Times New Roman" w:cs="Times New Roman"/>
          <w:sz w:val="20"/>
          <w:szCs w:val="20"/>
        </w:rPr>
        <w:t xml:space="preserve">synchronization on NPDSCH decoding performance is evaluated.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_Ref22029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kern w:val="2"/>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NPDSCH can be successfully detected for all satellite scenarios since the BELR performance of NPDSCH can be less than 10% BLER and 1% BLER for no repetition and 8 repetitions of NPDSCH, respecti</w:t>
      </w:r>
      <w:r>
        <w:rPr>
          <w:rFonts w:ascii="Times New Roman" w:eastAsia="宋体" w:hAnsi="Times New Roman" w:cs="Times New Roman"/>
          <w:sz w:val="20"/>
          <w:szCs w:val="20"/>
        </w:rPr>
        <w:t>vely. Thus, increasing the channel raster is sufficient to provide reliable perfor</w:t>
      </w:r>
      <w:r>
        <w:rPr>
          <w:rFonts w:ascii="Times New Roman" w:eastAsia="宋体" w:hAnsi="Times New Roman" w:cs="Times New Roman"/>
          <w:kern w:val="2"/>
          <w:sz w:val="20"/>
          <w:szCs w:val="20"/>
        </w:rPr>
        <w:t>mance for DL synchronization and afterwards signaling decoding.</w:t>
      </w:r>
    </w:p>
    <w:p w14:paraId="7434C84B" w14:textId="77777777" w:rsidR="00593680" w:rsidRDefault="00AF4AB4">
      <w:pPr>
        <w:pStyle w:val="a3"/>
        <w:rPr>
          <w:lang w:val="en-US"/>
        </w:rPr>
      </w:pPr>
      <w:bookmarkStart w:id="5" w:name="_Ref22029"/>
      <w:r>
        <w:rPr>
          <w:b w:val="0"/>
          <w:bCs w:val="0"/>
          <w:lang w:val="en-US"/>
        </w:rPr>
        <w:t xml:space="preserve">Table </w:t>
      </w:r>
      <w:r>
        <w:rPr>
          <w:b w:val="0"/>
          <w:bCs w:val="0"/>
          <w:lang w:val="en-US"/>
        </w:rPr>
        <w:fldChar w:fldCharType="begin"/>
      </w:r>
      <w:r>
        <w:rPr>
          <w:b w:val="0"/>
          <w:bCs w:val="0"/>
          <w:lang w:val="en-US"/>
        </w:rPr>
        <w:instrText xml:space="preserve"> SEQ Table \* ARABIC </w:instrText>
      </w:r>
      <w:r>
        <w:rPr>
          <w:b w:val="0"/>
          <w:bCs w:val="0"/>
          <w:lang w:val="en-US"/>
        </w:rPr>
        <w:fldChar w:fldCharType="separate"/>
      </w:r>
      <w:r>
        <w:rPr>
          <w:b w:val="0"/>
          <w:bCs w:val="0"/>
          <w:lang w:val="en-US"/>
        </w:rPr>
        <w:t>2</w:t>
      </w:r>
      <w:r>
        <w:rPr>
          <w:b w:val="0"/>
          <w:bCs w:val="0"/>
          <w:lang w:val="en-US"/>
        </w:rPr>
        <w:fldChar w:fldCharType="end"/>
      </w:r>
      <w:bookmarkEnd w:id="5"/>
      <w:r>
        <w:rPr>
          <w:b w:val="0"/>
          <w:bCs w:val="0"/>
          <w:lang w:val="en-US"/>
        </w:rPr>
        <w:t xml:space="preserve"> BLE</w:t>
      </w:r>
      <w:r>
        <w:rPr>
          <w:b w:val="0"/>
          <w:bCs w:val="0"/>
          <w:lang w:val="en-US"/>
        </w:rPr>
        <w:t xml:space="preserve">R </w:t>
      </w:r>
      <w:r>
        <w:rPr>
          <w:b w:val="0"/>
          <w:bCs w:val="0"/>
        </w:rPr>
        <w:t>performanc</w:t>
      </w:r>
      <w:r>
        <w:rPr>
          <w:b w:val="0"/>
          <w:bCs w:val="0"/>
          <w:lang w:val="en-US"/>
        </w:rPr>
        <w:t>e for NPDSCH with residual frequency offset</w:t>
      </w:r>
      <w:r>
        <w:rPr>
          <w:b w:val="0"/>
          <w:bCs w:val="0"/>
        </w:rPr>
        <w:t xml:space="preserve"> </w:t>
      </w:r>
    </w:p>
    <w:tbl>
      <w:tblPr>
        <w:tblStyle w:val="ab"/>
        <w:tblW w:w="8147" w:type="dxa"/>
        <w:jc w:val="center"/>
        <w:tblLayout w:type="fixed"/>
        <w:tblLook w:val="04A0" w:firstRow="1" w:lastRow="0" w:firstColumn="1" w:lastColumn="0" w:noHBand="0" w:noVBand="1"/>
      </w:tblPr>
      <w:tblGrid>
        <w:gridCol w:w="2489"/>
        <w:gridCol w:w="2375"/>
        <w:gridCol w:w="3283"/>
      </w:tblGrid>
      <w:tr w:rsidR="00593680" w14:paraId="4EB91CC4" w14:textId="77777777">
        <w:trPr>
          <w:jc w:val="center"/>
        </w:trPr>
        <w:tc>
          <w:tcPr>
            <w:tcW w:w="2489" w:type="dxa"/>
            <w:vAlign w:val="center"/>
          </w:tcPr>
          <w:p w14:paraId="27F4E4A0"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SNR and RFO for di</w:t>
            </w:r>
            <w:r>
              <w:rPr>
                <w:rFonts w:ascii="Times New Roman" w:eastAsia="宋体" w:hAnsi="Times New Roman" w:cs="Times New Roman"/>
                <w:sz w:val="20"/>
                <w:szCs w:val="20"/>
                <w:lang w:val="en-US"/>
              </w:rPr>
              <w:t>fferent satellite scenarios</w:t>
            </w:r>
          </w:p>
        </w:tc>
        <w:tc>
          <w:tcPr>
            <w:tcW w:w="2375" w:type="dxa"/>
            <w:vAlign w:val="center"/>
          </w:tcPr>
          <w:p w14:paraId="78F39FDE"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BLER (no repetition)</w:t>
            </w:r>
          </w:p>
        </w:tc>
        <w:tc>
          <w:tcPr>
            <w:tcW w:w="3283" w:type="dxa"/>
            <w:vAlign w:val="center"/>
          </w:tcPr>
          <w:p w14:paraId="35490E5F"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BLER (8 repetitions of PDSCH)</w:t>
            </w:r>
          </w:p>
        </w:tc>
      </w:tr>
      <w:tr w:rsidR="00593680" w14:paraId="2BEABD6D" w14:textId="77777777">
        <w:trPr>
          <w:jc w:val="center"/>
        </w:trPr>
        <w:tc>
          <w:tcPr>
            <w:tcW w:w="2489" w:type="dxa"/>
            <w:vAlign w:val="center"/>
          </w:tcPr>
          <w:p w14:paraId="2E916545"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3dB, 150Hz (Set-1)</w:t>
            </w:r>
          </w:p>
        </w:tc>
        <w:tc>
          <w:tcPr>
            <w:tcW w:w="2375" w:type="dxa"/>
            <w:vAlign w:val="center"/>
          </w:tcPr>
          <w:p w14:paraId="1AE6C848"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0.7%</w:t>
            </w:r>
          </w:p>
        </w:tc>
        <w:tc>
          <w:tcPr>
            <w:tcW w:w="3283" w:type="dxa"/>
            <w:vAlign w:val="center"/>
          </w:tcPr>
          <w:p w14:paraId="229E3F2F"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0.05%</w:t>
            </w:r>
          </w:p>
        </w:tc>
      </w:tr>
      <w:tr w:rsidR="00593680" w14:paraId="33BAE314" w14:textId="77777777">
        <w:trPr>
          <w:jc w:val="center"/>
        </w:trPr>
        <w:tc>
          <w:tcPr>
            <w:tcW w:w="2489" w:type="dxa"/>
            <w:vAlign w:val="center"/>
          </w:tcPr>
          <w:p w14:paraId="6771BFC8" w14:textId="77777777" w:rsidR="00593680" w:rsidRDefault="00AF4AB4">
            <w:pPr>
              <w:widowControl w:val="0"/>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rPr>
            </w:pPr>
            <w:r>
              <w:rPr>
                <w:rFonts w:ascii="Times New Roman" w:eastAsia="宋体" w:hAnsi="Times New Roman" w:cs="Times New Roman"/>
                <w:sz w:val="20"/>
                <w:szCs w:val="20"/>
              </w:rPr>
              <w:t>-3.7dB, 235Hz (Set-2)</w:t>
            </w:r>
          </w:p>
        </w:tc>
        <w:tc>
          <w:tcPr>
            <w:tcW w:w="2375" w:type="dxa"/>
            <w:vAlign w:val="center"/>
          </w:tcPr>
          <w:p w14:paraId="11D75CE9"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5.4%</w:t>
            </w:r>
          </w:p>
        </w:tc>
        <w:tc>
          <w:tcPr>
            <w:tcW w:w="3283" w:type="dxa"/>
            <w:vAlign w:val="center"/>
          </w:tcPr>
          <w:p w14:paraId="0E1416C9"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0.95%</w:t>
            </w:r>
          </w:p>
        </w:tc>
      </w:tr>
      <w:tr w:rsidR="00593680" w14:paraId="28EC42E5" w14:textId="77777777">
        <w:trPr>
          <w:jc w:val="center"/>
        </w:trPr>
        <w:tc>
          <w:tcPr>
            <w:tcW w:w="2489" w:type="dxa"/>
            <w:vAlign w:val="center"/>
          </w:tcPr>
          <w:p w14:paraId="23A649BD" w14:textId="77777777" w:rsidR="00593680" w:rsidRDefault="00AF4AB4">
            <w:pPr>
              <w:widowControl w:val="0"/>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rPr>
            </w:pPr>
            <w:r>
              <w:rPr>
                <w:rFonts w:ascii="Times New Roman" w:eastAsia="宋体" w:hAnsi="Times New Roman" w:cs="Times New Roman"/>
                <w:sz w:val="20"/>
                <w:szCs w:val="20"/>
              </w:rPr>
              <w:t>-2.1dB, 240Hz (Set-3)</w:t>
            </w:r>
          </w:p>
        </w:tc>
        <w:tc>
          <w:tcPr>
            <w:tcW w:w="2375" w:type="dxa"/>
            <w:vAlign w:val="center"/>
          </w:tcPr>
          <w:p w14:paraId="3D679879"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3.5%</w:t>
            </w:r>
          </w:p>
        </w:tc>
        <w:tc>
          <w:tcPr>
            <w:tcW w:w="3283" w:type="dxa"/>
            <w:vAlign w:val="center"/>
          </w:tcPr>
          <w:p w14:paraId="4A51385E"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line="260" w:lineRule="auto"/>
              <w:ind w:leftChars="200" w:left="440"/>
              <w:jc w:val="center"/>
              <w:textAlignment w:val="auto"/>
              <w:outlineLvl w:val="0"/>
              <w:rPr>
                <w:rFonts w:ascii="Times New Roman" w:eastAsia="宋体" w:hAnsi="Times New Roman" w:cs="Times New Roman"/>
                <w:sz w:val="20"/>
                <w:szCs w:val="20"/>
                <w:lang w:val="en-US"/>
              </w:rPr>
            </w:pPr>
            <w:r>
              <w:rPr>
                <w:rFonts w:ascii="Times New Roman" w:eastAsia="宋体" w:hAnsi="Times New Roman" w:cs="Times New Roman"/>
                <w:sz w:val="20"/>
                <w:szCs w:val="20"/>
                <w:lang w:val="en-US"/>
              </w:rPr>
              <w:t>0.6%</w:t>
            </w:r>
          </w:p>
        </w:tc>
      </w:tr>
    </w:tbl>
    <w:p w14:paraId="0ACF0F61" w14:textId="77777777" w:rsidR="00593680" w:rsidRDefault="00AF4AB4">
      <w:pPr>
        <w:spacing w:beforeLines="50" w:before="120" w:line="240" w:lineRule="auto"/>
        <w:ind w:leftChars="200" w:left="440"/>
        <w:jc w:val="both"/>
        <w:rPr>
          <w:rFonts w:ascii="Times New Roman" w:hAnsi="Times New Roman" w:cs="Times New Roman"/>
          <w:b/>
          <w:i/>
          <w:sz w:val="20"/>
          <w:szCs w:val="20"/>
        </w:rPr>
      </w:pPr>
      <w:r>
        <w:rPr>
          <w:rFonts w:ascii="Times New Roman" w:hAnsi="Times New Roman" w:cs="Times New Roman"/>
          <w:b/>
          <w:i/>
          <w:sz w:val="20"/>
          <w:szCs w:val="20"/>
        </w:rPr>
        <w:t>Observation 1:</w:t>
      </w:r>
      <w:r>
        <w:rPr>
          <w:rFonts w:ascii="Times New Roman" w:hAnsi="Times New Roman" w:cs="Times New Roman"/>
          <w:bCs/>
          <w:i/>
          <w:sz w:val="20"/>
          <w:szCs w:val="20"/>
        </w:rPr>
        <w:t xml:space="preserve"> Increasing the channel raster up to 200 kHz is sufficient to </w:t>
      </w:r>
      <w:r>
        <w:rPr>
          <w:rFonts w:ascii="Times New Roman" w:hAnsi="Times New Roman" w:cs="Times New Roman"/>
          <w:bCs/>
          <w:i/>
          <w:sz w:val="20"/>
          <w:szCs w:val="20"/>
        </w:rPr>
        <w:t>provide robust performance for DL synchronization.</w:t>
      </w:r>
      <w:r>
        <w:rPr>
          <w:rFonts w:ascii="Times New Roman" w:hAnsi="Times New Roman" w:cs="Times New Roman"/>
          <w:b/>
          <w:i/>
          <w:sz w:val="20"/>
          <w:szCs w:val="20"/>
        </w:rPr>
        <w:t xml:space="preserve"> </w:t>
      </w:r>
    </w:p>
    <w:p w14:paraId="448DBAF4" w14:textId="77777777" w:rsidR="00593680" w:rsidRDefault="00AF4AB4">
      <w:pPr>
        <w:spacing w:beforeLines="50" w:before="120" w:line="240" w:lineRule="auto"/>
        <w:ind w:leftChars="200" w:left="440"/>
        <w:jc w:val="both"/>
        <w:rPr>
          <w:rFonts w:ascii="Times New Roman" w:hAnsi="Times New Roman" w:cs="Times New Roman"/>
        </w:rPr>
      </w:pPr>
      <w:r>
        <w:rPr>
          <w:rFonts w:ascii="Times New Roman" w:hAnsi="Times New Roman" w:cs="Times New Roman"/>
          <w:b/>
          <w:i/>
          <w:sz w:val="20"/>
          <w:szCs w:val="20"/>
        </w:rPr>
        <w:lastRenderedPageBreak/>
        <w:t>Proposal 1:</w:t>
      </w:r>
      <w:r>
        <w:rPr>
          <w:rFonts w:ascii="Times New Roman" w:hAnsi="Times New Roman" w:cs="Times New Roman"/>
          <w:bCs/>
          <w:i/>
          <w:sz w:val="20"/>
          <w:szCs w:val="20"/>
        </w:rPr>
        <w:t xml:space="preserve"> Increasing the channel raster is preferred for DL synchronization.</w:t>
      </w:r>
      <w:r>
        <w:rPr>
          <w:rFonts w:ascii="Times New Roman" w:hAnsi="Times New Roman" w:cs="Times New Roman"/>
          <w:b/>
          <w:i/>
          <w:sz w:val="20"/>
          <w:szCs w:val="20"/>
        </w:rPr>
        <w:t xml:space="preserve"> </w:t>
      </w:r>
    </w:p>
    <w:p w14:paraId="0C49FDC2" w14:textId="77777777" w:rsidR="00593680" w:rsidRDefault="00AF4AB4">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UL synchronization</w:t>
      </w:r>
    </w:p>
    <w:p w14:paraId="0D98AA29" w14:textId="77777777" w:rsidR="00593680" w:rsidRDefault="00AF4AB4">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long transmission enhancement</w:t>
      </w:r>
    </w:p>
    <w:p w14:paraId="34C4A097" w14:textId="77777777" w:rsidR="00593680" w:rsidRDefault="00AF4AB4">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For long PUSCH and PRACH transmissions, with consideration on the satellite movement (at least), the accumulated error of TA and Doppler will impact the system performance if only the initial pre-compensation value is kept for whole transmission. Therefore</w:t>
      </w:r>
      <w:r>
        <w:rPr>
          <w:rFonts w:ascii="Times New Roman" w:eastAsia="宋体" w:hAnsi="Times New Roman" w:cs="Times New Roman"/>
          <w:sz w:val="20"/>
          <w:szCs w:val="20"/>
        </w:rPr>
        <w:t xml:space="preserve">, segmented pre-compensation of TA/Doppler for long transmission, i.e., pre-compensation done per N time units for long PUSCH and PRACH, was agreed in RAN1#105e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_Ref3789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p>
    <w:p w14:paraId="76519572" w14:textId="77777777" w:rsidR="00593680" w:rsidRDefault="00AF4AB4">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For ad</w:t>
      </w:r>
      <w:r>
        <w:rPr>
          <w:rFonts w:ascii="Times New Roman" w:eastAsia="宋体" w:hAnsi="Times New Roman" w:cs="Times New Roman"/>
          <w:sz w:val="20"/>
          <w:szCs w:val="20"/>
        </w:rPr>
        <w:t xml:space="preserve">dressing the pending part w.r.t the length of each segment, further evaluation is conducted. More specifically, the TA error as </w:t>
      </w:r>
      <w:r>
        <w:rPr>
          <w:rFonts w:ascii="Times New Roman" w:eastAsia="宋体" w:hAnsi="Times New Roman" w:cs="Times New Roman"/>
          <w:position w:val="-12"/>
          <w:sz w:val="20"/>
          <w:szCs w:val="20"/>
        </w:rPr>
        <w:object w:dxaOrig="244" w:dyaOrig="366" w14:anchorId="1D76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8.3pt" o:ole="">
            <v:imagedata r:id="rId9" o:title=""/>
          </v:shape>
          <o:OLEObject Type="Embed" ProgID="Equation.KSEE3" ShapeID="_x0000_i1025" DrawAspect="Content" ObjectID="_1689768986" r:id="rId10"/>
        </w:object>
      </w:r>
      <w:r>
        <w:rPr>
          <w:rFonts w:ascii="Times New Roman" w:eastAsia="宋体" w:hAnsi="Times New Roman" w:cs="Times New Roman"/>
          <w:sz w:val="20"/>
          <w:szCs w:val="20"/>
        </w:rPr>
        <w:t xml:space="preserve">, which is </w:t>
      </w:r>
      <w:r>
        <w:rPr>
          <w:rFonts w:ascii="Times New Roman" w:eastAsia="宋体" w:hAnsi="Times New Roman" w:cs="Times New Roman"/>
          <w:position w:val="-12"/>
          <w:sz w:val="20"/>
          <w:szCs w:val="20"/>
        </w:rPr>
        <w:object w:dxaOrig="598" w:dyaOrig="366" w14:anchorId="39985D6A">
          <v:shape id="_x0000_i1026" type="#_x0000_t75" style="width:29.9pt;height:18.3pt" o:ole="">
            <v:imagedata r:id="rId11" o:title=""/>
          </v:shape>
          <o:OLEObject Type="Embed" ProgID="Equation.KSEE3" ShapeID="_x0000_i1026" DrawAspect="Content" ObjectID="_1689768987" r:id="rId12"/>
        </w:object>
      </w:r>
      <w:r>
        <w:rPr>
          <w:rFonts w:ascii="Times New Roman" w:eastAsia="宋体" w:hAnsi="Times New Roman" w:cs="Times New Roman"/>
          <w:sz w:val="20"/>
          <w:szCs w:val="20"/>
        </w:rPr>
        <w:t xml:space="preserve">, i.e., 2.6 us, is assumed for NPUSCH evaluation for NB-IoT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w:instrText>
      </w:r>
      <w:r>
        <w:rPr>
          <w:rFonts w:ascii="Times New Roman" w:eastAsia="宋体" w:hAnsi="Times New Roman" w:cs="Times New Roman"/>
          <w:sz w:val="20"/>
          <w:szCs w:val="20"/>
        </w:rPr>
        <w:instrText xml:space="preserve">_Ref20393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Since the maximum TA drift rate including both feeder link and service link is 93 us/s in LEO-600 with 10 degree elevation angle, the accumulated TA error can exceed </w:t>
      </w:r>
      <w:r>
        <w:rPr>
          <w:rFonts w:ascii="Times New Roman" w:eastAsia="宋体" w:hAnsi="Times New Roman" w:cs="Times New Roman"/>
          <w:position w:val="-12"/>
          <w:sz w:val="20"/>
          <w:szCs w:val="20"/>
        </w:rPr>
        <w:object w:dxaOrig="244" w:dyaOrig="366" w14:anchorId="35FD0D01">
          <v:shape id="_x0000_i1027" type="#_x0000_t75" style="width:12.2pt;height:18.3pt" o:ole="">
            <v:imagedata r:id="rId9" o:title=""/>
          </v:shape>
          <o:OLEObject Type="Embed" ProgID="Equation.KSEE3" ShapeID="_x0000_i1027" DrawAspect="Content" ObjectID="_1689768988" r:id="rId13"/>
        </w:object>
      </w:r>
      <w:r>
        <w:rPr>
          <w:rFonts w:ascii="Times New Roman" w:eastAsia="宋体" w:hAnsi="Times New Roman" w:cs="Times New Roman"/>
          <w:sz w:val="20"/>
          <w:szCs w:val="20"/>
        </w:rPr>
        <w:t xml:space="preserve"> within tens of milliseconds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_Ref31315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which indicates that the segment for pre-compensation should be shorter than 256 m</w:t>
      </w:r>
      <w:r>
        <w:rPr>
          <w:rFonts w:ascii="Times New Roman" w:eastAsia="宋体" w:hAnsi="Times New Roman" w:cs="Times New Roman"/>
          <w:sz w:val="20"/>
          <w:szCs w:val="20"/>
        </w:rPr>
        <w:t>s. More specifically, the TA can be thought accurate enough when segment length is less than 2.6/93*1000 = 27.9 ms. Since slot is a basic time unit for resource management, it can be used to express segment length. When 3.75 kHz SCS is configured, the leng</w:t>
      </w:r>
      <w:r>
        <w:rPr>
          <w:rFonts w:ascii="Times New Roman" w:eastAsia="宋体" w:hAnsi="Times New Roman" w:cs="Times New Roman"/>
          <w:sz w:val="20"/>
          <w:szCs w:val="20"/>
        </w:rPr>
        <w:t>th of one slot is 2 ms, i.e., the pre-compensation can be done per 13 slots for long PUSCH. For 15 kHz SCS, the length of one slot is 0.5 ms so the pre-compensation can be done per 54 slots. While for PRACH, since slot is no longer the basic unit for trans</w:t>
      </w:r>
      <w:r>
        <w:rPr>
          <w:rFonts w:ascii="Times New Roman" w:eastAsia="宋体" w:hAnsi="Times New Roman" w:cs="Times New Roman"/>
          <w:sz w:val="20"/>
          <w:szCs w:val="20"/>
        </w:rPr>
        <w:t>mission, the time length of RA symbol group can be the time unit for pre-compensation. For FDD NB-IoT, the time length of RA symbol group is 1.4 ms for preamble format 0, 1.6 ms for preamble format 1, and 3.2 ms for preamble format 2. That is, the pre-comp</w:t>
      </w:r>
      <w:r>
        <w:rPr>
          <w:rFonts w:ascii="Times New Roman" w:eastAsia="宋体" w:hAnsi="Times New Roman" w:cs="Times New Roman"/>
          <w:sz w:val="20"/>
          <w:szCs w:val="20"/>
        </w:rPr>
        <w:t>ensation can be done per 19 RA symbol groups for preamble format 0, 17 for format 1, and 8 for format 2.</w:t>
      </w:r>
    </w:p>
    <w:p w14:paraId="43165418" w14:textId="77777777" w:rsidR="00593680" w:rsidRDefault="00AF4AB4">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general, shorter segment for pre-compensation can further reduce the TA and frequency error, but the required implementation complexity will be high</w:t>
      </w:r>
      <w:r>
        <w:rPr>
          <w:rFonts w:ascii="Times New Roman" w:eastAsia="宋体" w:hAnsi="Times New Roman" w:cs="Times New Roman"/>
          <w:sz w:val="20"/>
          <w:szCs w:val="20"/>
        </w:rPr>
        <w:t xml:space="preserve">er. Thus, to accommodate different layout and requirement for pre-compensation, e.g., SCS and PRACH format, the length of segment should to be configurable and within the one segment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_Ref15838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same value is assumed for pre-compensation. In this way, the balance between accuracy and complexity can be achieved. For example, w.r.t the PUSCH, the segment length should be expressed by slots and can be configured as 2, 4,</w:t>
      </w:r>
      <w:r>
        <w:rPr>
          <w:rFonts w:ascii="Times New Roman" w:eastAsia="宋体" w:hAnsi="Times New Roman" w:cs="Times New Roman"/>
          <w:sz w:val="20"/>
          <w:szCs w:val="20"/>
        </w:rPr>
        <w:t xml:space="preserve"> 8, 16, 32, etc. For PRACH, the segment length should be expressed by RA symbol groups and can be configured as 4, 8, 16, etc.</w:t>
      </w:r>
    </w:p>
    <w:p w14:paraId="4AA4E9E5" w14:textId="77777777" w:rsidR="00593680" w:rsidRDefault="00AF4AB4">
      <w:pPr>
        <w:tabs>
          <w:tab w:val="left" w:pos="2609"/>
        </w:tabs>
        <w:adjustRightInd w:val="0"/>
        <w:snapToGrid w:val="0"/>
        <w:spacing w:beforeLines="50" w:before="120" w:afterLines="50" w:after="120"/>
        <w:ind w:leftChars="200" w:left="440"/>
        <w:jc w:val="center"/>
        <w:rPr>
          <w:rFonts w:ascii="Times New Roman" w:hAnsi="Times New Roman" w:cs="Times New Roman"/>
        </w:rPr>
      </w:pPr>
      <w:r>
        <w:rPr>
          <w:rFonts w:ascii="Times New Roman" w:hAnsi="Times New Roman" w:cs="Times New Roman"/>
          <w:noProof/>
        </w:rPr>
        <w:drawing>
          <wp:inline distT="0" distB="0" distL="114300" distR="114300">
            <wp:extent cx="3531870" cy="2649220"/>
            <wp:effectExtent l="0" t="0" r="11430" b="17780"/>
            <wp:docPr id="1" name="图片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ntitled"/>
                    <pic:cNvPicPr>
                      <a:picLocks noChangeAspect="1"/>
                    </pic:cNvPicPr>
                  </pic:nvPicPr>
                  <pic:blipFill>
                    <a:blip r:embed="rId14"/>
                    <a:stretch>
                      <a:fillRect/>
                    </a:stretch>
                  </pic:blipFill>
                  <pic:spPr>
                    <a:xfrm>
                      <a:off x="0" y="0"/>
                      <a:ext cx="3531870" cy="2649220"/>
                    </a:xfrm>
                    <a:prstGeom prst="rect">
                      <a:avLst/>
                    </a:prstGeom>
                  </pic:spPr>
                </pic:pic>
              </a:graphicData>
            </a:graphic>
          </wp:inline>
        </w:drawing>
      </w:r>
    </w:p>
    <w:p w14:paraId="33ADD37A" w14:textId="77777777" w:rsidR="00593680" w:rsidRDefault="00AF4AB4">
      <w:pPr>
        <w:pStyle w:val="a3"/>
        <w:tabs>
          <w:tab w:val="left" w:pos="2609"/>
        </w:tabs>
        <w:spacing w:beforeLines="50" w:before="120" w:afterLines="50"/>
        <w:ind w:leftChars="200" w:left="440"/>
      </w:pPr>
      <w:bookmarkStart w:id="6" w:name="_Ref31315"/>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1</w:t>
      </w:r>
      <w:r>
        <w:rPr>
          <w:b w:val="0"/>
          <w:lang w:val="en-US"/>
        </w:rPr>
        <w:fldChar w:fldCharType="end"/>
      </w:r>
      <w:bookmarkEnd w:id="6"/>
      <w:r>
        <w:rPr>
          <w:b w:val="0"/>
          <w:lang w:val="en-US"/>
        </w:rPr>
        <w:t xml:space="preserve"> Accumulated TA error in long transmission</w:t>
      </w:r>
    </w:p>
    <w:p w14:paraId="2E96CEA1" w14:textId="77777777" w:rsidR="00593680" w:rsidRDefault="00593680">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p>
    <w:p w14:paraId="6A81D220" w14:textId="77777777" w:rsidR="00593680" w:rsidRDefault="00AF4AB4">
      <w:pPr>
        <w:adjustRightInd w:val="0"/>
        <w:snapToGrid w:val="0"/>
        <w:spacing w:beforeLines="50" w:before="120" w:afterLines="50" w:after="120" w:line="260" w:lineRule="auto"/>
        <w:jc w:val="center"/>
        <w:rPr>
          <w:rFonts w:ascii="Times New Roman" w:hAnsi="Times New Roman" w:cs="Times New Roman"/>
        </w:rPr>
      </w:pPr>
      <w:r>
        <w:rPr>
          <w:rFonts w:ascii="Times New Roman" w:hAnsi="Times New Roman" w:cs="Times New Roman"/>
          <w:noProof/>
        </w:rPr>
        <w:drawing>
          <wp:inline distT="0" distB="0" distL="114300" distR="114300">
            <wp:extent cx="5943600" cy="1450975"/>
            <wp:effectExtent l="0" t="0" r="0" b="15875"/>
            <wp:docPr id="6" name="图片 6" descr="segm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egmentation"/>
                    <pic:cNvPicPr>
                      <a:picLocks noChangeAspect="1"/>
                    </pic:cNvPicPr>
                  </pic:nvPicPr>
                  <pic:blipFill>
                    <a:blip r:embed="rId15"/>
                    <a:stretch>
                      <a:fillRect/>
                    </a:stretch>
                  </pic:blipFill>
                  <pic:spPr>
                    <a:xfrm>
                      <a:off x="0" y="0"/>
                      <a:ext cx="5943600" cy="1450975"/>
                    </a:xfrm>
                    <a:prstGeom prst="rect">
                      <a:avLst/>
                    </a:prstGeom>
                  </pic:spPr>
                </pic:pic>
              </a:graphicData>
            </a:graphic>
          </wp:inline>
        </w:drawing>
      </w:r>
    </w:p>
    <w:p w14:paraId="1166F516" w14:textId="77777777" w:rsidR="00593680" w:rsidRDefault="00AF4AB4">
      <w:pPr>
        <w:pStyle w:val="a3"/>
        <w:rPr>
          <w:i/>
        </w:rPr>
      </w:pPr>
      <w:bookmarkStart w:id="7" w:name="_Ref15838"/>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2</w:t>
      </w:r>
      <w:r>
        <w:rPr>
          <w:b w:val="0"/>
          <w:lang w:val="en-US"/>
        </w:rPr>
        <w:fldChar w:fldCharType="end"/>
      </w:r>
      <w:bookmarkEnd w:id="7"/>
      <w:r>
        <w:rPr>
          <w:b w:val="0"/>
          <w:lang w:val="en-US"/>
        </w:rPr>
        <w:t xml:space="preserve"> Illustration </w:t>
      </w:r>
      <w:r>
        <w:rPr>
          <w:b w:val="0"/>
          <w:lang w:val="en-US"/>
        </w:rPr>
        <w:t>of segmented pre-compensation</w:t>
      </w:r>
    </w:p>
    <w:p w14:paraId="35D51034" w14:textId="77777777" w:rsidR="00593680" w:rsidRDefault="00AF4AB4">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For Doppler shift, similar conclusion can be obtained as for TA, i.e., segmented pre-compensation of Doppler is applied. The frequency error in connected mode should be smaller than 0.1 ppm. Since the maximum Doppler shift var</w:t>
      </w:r>
      <w:r>
        <w:rPr>
          <w:rFonts w:ascii="Times New Roman" w:eastAsia="宋体" w:hAnsi="Times New Roman" w:cs="Times New Roman"/>
          <w:sz w:val="20"/>
          <w:szCs w:val="20"/>
        </w:rPr>
        <w:t xml:space="preserve">iation is 0.27 ppm/s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_Ref24764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length of each segment is at most 0.1/0.27*1000 = 370 ms, which is longer than that for TA pre-compensation. For simplicity of implementation,</w:t>
      </w:r>
      <w:r>
        <w:rPr>
          <w:rFonts w:ascii="Times New Roman" w:eastAsia="宋体" w:hAnsi="Times New Roman" w:cs="Times New Roman"/>
          <w:sz w:val="20"/>
          <w:szCs w:val="20"/>
        </w:rPr>
        <w:t xml:space="preserve"> the segment length for Doppler pre-compensation can be set same as for TA pre-compensation.</w:t>
      </w:r>
    </w:p>
    <w:p w14:paraId="49DB721B" w14:textId="77777777" w:rsidR="00593680" w:rsidRDefault="00AF4AB4">
      <w:pPr>
        <w:ind w:leftChars="200" w:left="44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2: </w:t>
      </w:r>
      <w:r>
        <w:rPr>
          <w:rFonts w:ascii="Times New Roman" w:hAnsi="Times New Roman" w:cs="Times New Roman"/>
          <w:i/>
          <w:sz w:val="20"/>
          <w:szCs w:val="20"/>
        </w:rPr>
        <w:t xml:space="preserve">The configurable segment length should be supported to enable the </w:t>
      </w:r>
      <w:r>
        <w:rPr>
          <w:rFonts w:ascii="Times New Roman" w:eastAsia="宋体" w:hAnsi="Times New Roman" w:cs="Times New Roman"/>
          <w:i/>
          <w:sz w:val="20"/>
          <w:szCs w:val="20"/>
        </w:rPr>
        <w:t>segmented UL pre-compensation with applying one TA value per segment.</w:t>
      </w:r>
    </w:p>
    <w:p w14:paraId="02B56023" w14:textId="77777777" w:rsidR="00593680" w:rsidRDefault="00AF4AB4">
      <w:pPr>
        <w:ind w:leftChars="200" w:left="44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3: </w:t>
      </w:r>
      <w:r>
        <w:rPr>
          <w:rFonts w:ascii="Times New Roman" w:eastAsia="宋体" w:hAnsi="Times New Roman" w:cs="Times New Roman"/>
          <w:i/>
          <w:sz w:val="20"/>
          <w:szCs w:val="20"/>
        </w:rPr>
        <w:t>The</w:t>
      </w:r>
      <w:r>
        <w:rPr>
          <w:rFonts w:ascii="Times New Roman" w:eastAsia="宋体" w:hAnsi="Times New Roman" w:cs="Times New Roman"/>
          <w:i/>
          <w:sz w:val="20"/>
          <w:szCs w:val="20"/>
        </w:rPr>
        <w:t xml:space="preserve"> time unit of segmented pre-compensation should be slot for PUSCH and random access symbol group for PRACH.</w:t>
      </w:r>
    </w:p>
    <w:p w14:paraId="0335C887"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RAN1#105e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_Ref3789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impact of phase discontinuity on PAPR due to segmented pre-compensation was discussed. First of all, phase discontinuity should only be considered in single-tone cases, where pi/2-BPSK or pi/</w:t>
      </w:r>
      <w:r>
        <w:rPr>
          <w:rFonts w:ascii="Times New Roman" w:eastAsia="宋体" w:hAnsi="Times New Roman" w:cs="Times New Roman"/>
          <w:sz w:val="20"/>
          <w:szCs w:val="20"/>
        </w:rPr>
        <w:t>4-QPSK is applied for modulation. For multi-tone cases, QPSK is applied for modulation, which introduces inherent phase discontinuity, so that PAPR will not be significantly affected</w:t>
      </w:r>
      <w:r>
        <w:rPr>
          <w:rFonts w:ascii="Times New Roman" w:eastAsia="宋体" w:hAnsi="Times New Roman" w:cs="Times New Roman"/>
          <w:sz w:val="20"/>
          <w:szCs w:val="20"/>
        </w:rPr>
        <w:t xml:space="preserve">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_Ref16516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bCs/>
          <w:kern w:val="2"/>
          <w:sz w:val="20"/>
          <w:szCs w:val="20"/>
        </w:rPr>
        <w:t xml:space="preserve">Figure </w:t>
      </w:r>
      <w:r>
        <w:rPr>
          <w:rFonts w:ascii="Times New Roman" w:eastAsia="宋体" w:hAnsi="Times New Roman" w:cs="Times New Roman"/>
          <w:bCs/>
          <w:kern w:val="2"/>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p>
    <w:p w14:paraId="415AA429" w14:textId="77777777" w:rsidR="00593680" w:rsidRDefault="00AF4AB4">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3222625" cy="2416810"/>
            <wp:effectExtent l="0" t="0" r="15875" b="2540"/>
            <wp:docPr id="24" name="图片 24" descr="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papr"/>
                    <pic:cNvPicPr>
                      <a:picLocks noChangeAspect="1"/>
                    </pic:cNvPicPr>
                  </pic:nvPicPr>
                  <pic:blipFill>
                    <a:blip r:embed="rId16"/>
                    <a:stretch>
                      <a:fillRect/>
                    </a:stretch>
                  </pic:blipFill>
                  <pic:spPr>
                    <a:xfrm>
                      <a:off x="0" y="0"/>
                      <a:ext cx="3222625" cy="2416810"/>
                    </a:xfrm>
                    <a:prstGeom prst="rect">
                      <a:avLst/>
                    </a:prstGeom>
                  </pic:spPr>
                </pic:pic>
              </a:graphicData>
            </a:graphic>
          </wp:inline>
        </w:drawing>
      </w:r>
    </w:p>
    <w:p w14:paraId="4D587D73" w14:textId="77777777" w:rsidR="00593680" w:rsidRDefault="00AF4AB4">
      <w:pPr>
        <w:pStyle w:val="a3"/>
      </w:pPr>
      <w:bookmarkStart w:id="8" w:name="_Ref1651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3</w:t>
      </w:r>
      <w:r>
        <w:rPr>
          <w:b w:val="0"/>
          <w:lang w:val="en-US"/>
        </w:rPr>
        <w:fldChar w:fldCharType="end"/>
      </w:r>
      <w:bookmarkEnd w:id="8"/>
      <w:r>
        <w:rPr>
          <w:b w:val="0"/>
          <w:lang w:val="en-US"/>
        </w:rPr>
        <w:t xml:space="preserve"> </w:t>
      </w:r>
      <w:r>
        <w:rPr>
          <w:b w:val="0"/>
          <w:lang w:val="en-US"/>
        </w:rPr>
        <w:t>PAPR of segmented signal with 12 subcarriers</w:t>
      </w:r>
    </w:p>
    <w:p w14:paraId="56D17EB1" w14:textId="77777777" w:rsidR="00593680" w:rsidRDefault="00AF4AB4">
      <w:pPr>
        <w:adjustRightInd w:val="0"/>
        <w:snapToGrid w:val="0"/>
        <w:spacing w:beforeLines="50" w:before="120" w:afterLines="50" w:after="120" w:line="260" w:lineRule="auto"/>
        <w:ind w:leftChars="200" w:left="440"/>
        <w:rPr>
          <w:rFonts w:ascii="Times New Roman" w:eastAsia="黑体" w:hAnsi="Times New Roman" w:cs="Times New Roman"/>
          <w:bCs/>
          <w:sz w:val="20"/>
          <w:szCs w:val="20"/>
        </w:rPr>
      </w:pPr>
      <w:r>
        <w:rPr>
          <w:rFonts w:ascii="Times New Roman" w:eastAsia="宋体" w:hAnsi="Times New Roman" w:cs="Times New Roman"/>
          <w:sz w:val="20"/>
          <w:szCs w:val="20"/>
        </w:rPr>
        <w:t>Note that the original single-tone modulation has constant envelop and PAPR is 0 dB. In this case, the phase discontinuity has no impact. However, in order to suppress out-of-band emission, windowing and filtering are introduced, which result in the growth</w:t>
      </w:r>
      <w:r>
        <w:rPr>
          <w:rFonts w:ascii="Times New Roman" w:eastAsia="宋体" w:hAnsi="Times New Roman" w:cs="Times New Roman"/>
          <w:sz w:val="20"/>
          <w:szCs w:val="20"/>
        </w:rPr>
        <w:t xml:space="preserve"> of PAPR and therefore the need of phase continuity. Moreover, the phase discontinuity due to segmented pre-compensation is caused by the variance of TA. However, in order to avoid large TA error, the TA variance between adjacent segments is restricted wit</w:t>
      </w:r>
      <w:r>
        <w:rPr>
          <w:rFonts w:ascii="Times New Roman" w:eastAsia="宋体" w:hAnsi="Times New Roman" w:cs="Times New Roman"/>
          <w:sz w:val="20"/>
          <w:szCs w:val="20"/>
        </w:rPr>
        <w:t xml:space="preserve">hin </w:t>
      </w:r>
      <w:r>
        <w:rPr>
          <w:rFonts w:ascii="Times New Roman" w:eastAsia="宋体" w:hAnsi="Times New Roman" w:cs="Times New Roman"/>
          <w:position w:val="-12"/>
          <w:sz w:val="20"/>
          <w:szCs w:val="20"/>
        </w:rPr>
        <w:object w:dxaOrig="244" w:dyaOrig="366" w14:anchorId="0C147830">
          <v:shape id="_x0000_i1028" type="#_x0000_t75" style="width:12.2pt;height:18.3pt" o:ole="">
            <v:imagedata r:id="rId9" o:title=""/>
          </v:shape>
          <o:OLEObject Type="Embed" ProgID="Equation.KSEE3" ShapeID="_x0000_i1028" DrawAspect="Content" ObjectID="_1689768989" r:id="rId17"/>
        </w:object>
      </w:r>
      <w:r>
        <w:rPr>
          <w:rFonts w:ascii="Times New Roman" w:eastAsia="宋体" w:hAnsi="Times New Roman" w:cs="Times New Roman"/>
          <w:position w:val="-12"/>
          <w:sz w:val="20"/>
          <w:szCs w:val="20"/>
        </w:rPr>
        <w:t xml:space="preserve"> </w:t>
      </w:r>
      <w:r>
        <w:rPr>
          <w:rFonts w:ascii="Times New Roman" w:eastAsia="宋体" w:hAnsi="Times New Roman" w:cs="Times New Roman"/>
          <w:sz w:val="20"/>
          <w:szCs w:val="20"/>
        </w:rPr>
        <w:t xml:space="preserve">as previously discussed. This value is small even when compared with symbol length so that the PAPR regrowth due to </w:t>
      </w:r>
      <w:r>
        <w:rPr>
          <w:rFonts w:ascii="Times New Roman" w:eastAsia="宋体" w:hAnsi="Times New Roman" w:cs="Times New Roman"/>
          <w:sz w:val="20"/>
          <w:szCs w:val="20"/>
        </w:rPr>
        <w:lastRenderedPageBreak/>
        <w:t xml:space="preserve">phase discontinuity may not be large. The impact of segmented pre-compensation is evaluated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_Ref8951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with segment length as 1 slot and TA variance</w:t>
      </w:r>
      <w:r>
        <w:rPr>
          <w:rFonts w:ascii="Times New Roman" w:eastAsia="宋体" w:hAnsi="Times New Roman" w:cs="Times New Roman"/>
          <w:sz w:val="20"/>
          <w:szCs w:val="20"/>
        </w:rPr>
        <w:t xml:space="preserve"> per segment as </w:t>
      </w:r>
      <w:r>
        <w:rPr>
          <w:rFonts w:ascii="Times New Roman" w:eastAsia="宋体" w:hAnsi="Times New Roman" w:cs="Times New Roman"/>
          <w:position w:val="-12"/>
          <w:sz w:val="20"/>
          <w:szCs w:val="20"/>
        </w:rPr>
        <w:object w:dxaOrig="244" w:dyaOrig="366" w14:anchorId="5AF78B81">
          <v:shape id="_x0000_i1029" type="#_x0000_t75" style="width:12.2pt;height:18.3pt" o:ole="">
            <v:imagedata r:id="rId9" o:title=""/>
          </v:shape>
          <o:OLEObject Type="Embed" ProgID="Equation.KSEE3" ShapeID="_x0000_i1029" DrawAspect="Content" ObjectID="_1689768990" r:id="rId18"/>
        </w:object>
      </w:r>
      <w:r>
        <w:rPr>
          <w:rFonts w:ascii="Times New Roman" w:eastAsia="宋体" w:hAnsi="Times New Roman" w:cs="Times New Roman"/>
          <w:sz w:val="20"/>
          <w:szCs w:val="20"/>
        </w:rPr>
        <w:t>.</w:t>
      </w:r>
    </w:p>
    <w:tbl>
      <w:tblPr>
        <w:tblStyle w:val="ab"/>
        <w:tblW w:w="0" w:type="auto"/>
        <w:jc w:val="center"/>
        <w:tblLayout w:type="fixed"/>
        <w:tblLook w:val="04A0" w:firstRow="1" w:lastRow="0" w:firstColumn="1" w:lastColumn="0" w:noHBand="0" w:noVBand="1"/>
      </w:tblPr>
      <w:tblGrid>
        <w:gridCol w:w="4261"/>
        <w:gridCol w:w="4261"/>
      </w:tblGrid>
      <w:tr w:rsidR="00593680" w14:paraId="23C74F82" w14:textId="77777777">
        <w:trPr>
          <w:jc w:val="center"/>
        </w:trPr>
        <w:tc>
          <w:tcPr>
            <w:tcW w:w="4261" w:type="dxa"/>
          </w:tcPr>
          <w:p w14:paraId="1F9F0474" w14:textId="77777777" w:rsidR="00593680" w:rsidRDefault="00AF4AB4">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14:editId="72DCC6F1">
                  <wp:extent cx="2565400" cy="1924050"/>
                  <wp:effectExtent l="0" t="0" r="6350" b="0"/>
                  <wp:docPr id="18" name="图片 18" descr="spectrum_1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spectrum_1sc"/>
                          <pic:cNvPicPr>
                            <a:picLocks noChangeAspect="1"/>
                          </pic:cNvPicPr>
                        </pic:nvPicPr>
                        <pic:blipFill>
                          <a:blip r:embed="rId19"/>
                          <a:stretch>
                            <a:fillRect/>
                          </a:stretch>
                        </pic:blipFill>
                        <pic:spPr>
                          <a:xfrm>
                            <a:off x="0" y="0"/>
                            <a:ext cx="2565400" cy="1924050"/>
                          </a:xfrm>
                          <a:prstGeom prst="rect">
                            <a:avLst/>
                          </a:prstGeom>
                        </pic:spPr>
                      </pic:pic>
                    </a:graphicData>
                  </a:graphic>
                </wp:inline>
              </w:drawing>
            </w:r>
          </w:p>
        </w:tc>
        <w:tc>
          <w:tcPr>
            <w:tcW w:w="4261" w:type="dxa"/>
          </w:tcPr>
          <w:p w14:paraId="327A9588" w14:textId="77777777" w:rsidR="00593680" w:rsidRDefault="00AF4AB4">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19" name="图片 19" descr="spectrum_1sc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spectrum_1sc_edge"/>
                          <pic:cNvPicPr>
                            <a:picLocks noChangeAspect="1"/>
                          </pic:cNvPicPr>
                        </pic:nvPicPr>
                        <pic:blipFill>
                          <a:blip r:embed="rId20"/>
                          <a:stretch>
                            <a:fillRect/>
                          </a:stretch>
                        </pic:blipFill>
                        <pic:spPr>
                          <a:xfrm>
                            <a:off x="0" y="0"/>
                            <a:ext cx="2565400" cy="1924050"/>
                          </a:xfrm>
                          <a:prstGeom prst="rect">
                            <a:avLst/>
                          </a:prstGeom>
                        </pic:spPr>
                      </pic:pic>
                    </a:graphicData>
                  </a:graphic>
                </wp:inline>
              </w:drawing>
            </w:r>
          </w:p>
        </w:tc>
      </w:tr>
      <w:tr w:rsidR="00593680" w14:paraId="1462FE5D" w14:textId="77777777">
        <w:trPr>
          <w:jc w:val="center"/>
        </w:trPr>
        <w:tc>
          <w:tcPr>
            <w:tcW w:w="4261" w:type="dxa"/>
          </w:tcPr>
          <w:p w14:paraId="3042048C" w14:textId="77777777" w:rsidR="00593680" w:rsidRDefault="00AF4AB4">
            <w:pPr>
              <w:numPr>
                <w:ilvl w:val="0"/>
                <w:numId w:val="6"/>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center subcarrier</w:t>
            </w:r>
          </w:p>
        </w:tc>
        <w:tc>
          <w:tcPr>
            <w:tcW w:w="4261" w:type="dxa"/>
          </w:tcPr>
          <w:p w14:paraId="6FB52BEC" w14:textId="77777777" w:rsidR="00593680" w:rsidRDefault="00AF4AB4">
            <w:pPr>
              <w:numPr>
                <w:ilvl w:val="0"/>
                <w:numId w:val="6"/>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edge subcarrier</w:t>
            </w:r>
          </w:p>
        </w:tc>
      </w:tr>
      <w:tr w:rsidR="00593680" w14:paraId="66BE73EB" w14:textId="77777777">
        <w:trPr>
          <w:jc w:val="center"/>
        </w:trPr>
        <w:tc>
          <w:tcPr>
            <w:tcW w:w="4261" w:type="dxa"/>
          </w:tcPr>
          <w:p w14:paraId="34C4F28E" w14:textId="77777777" w:rsidR="00593680" w:rsidRDefault="00AF4AB4">
            <w:pPr>
              <w:spacing w:beforeLines="50" w:before="120" w:line="240" w:lineRule="auto"/>
              <w:rPr>
                <w:rFonts w:ascii="Times New Roman" w:hAnsi="Times New Roman" w:cs="Times New Roman"/>
                <w:bCs/>
                <w:kern w:val="2"/>
                <w:sz w:val="20"/>
                <w:szCs w:val="20"/>
              </w:rPr>
            </w:pPr>
            <w:r>
              <w:rPr>
                <w:rFonts w:ascii="Times New Roman" w:hAnsi="Times New Roman" w:cs="Times New Roman"/>
                <w:bCs/>
                <w:noProof/>
                <w:kern w:val="2"/>
                <w:sz w:val="20"/>
                <w:szCs w:val="20"/>
              </w:rPr>
              <w:drawing>
                <wp:inline distT="0" distB="0" distL="114300" distR="114300">
                  <wp:extent cx="2565400" cy="1924050"/>
                  <wp:effectExtent l="0" t="0" r="6350" b="0"/>
                  <wp:docPr id="22" name="图片 22" descr="spectrum_1sc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pectrum_1sc_pidiv4qpsk"/>
                          <pic:cNvPicPr>
                            <a:picLocks noChangeAspect="1"/>
                          </pic:cNvPicPr>
                        </pic:nvPicPr>
                        <pic:blipFill>
                          <a:blip r:embed="rId21"/>
                          <a:stretch>
                            <a:fillRect/>
                          </a:stretch>
                        </pic:blipFill>
                        <pic:spPr>
                          <a:xfrm>
                            <a:off x="0" y="0"/>
                            <a:ext cx="2565400" cy="1924050"/>
                          </a:xfrm>
                          <a:prstGeom prst="rect">
                            <a:avLst/>
                          </a:prstGeom>
                        </pic:spPr>
                      </pic:pic>
                    </a:graphicData>
                  </a:graphic>
                </wp:inline>
              </w:drawing>
            </w:r>
          </w:p>
        </w:tc>
        <w:tc>
          <w:tcPr>
            <w:tcW w:w="4261" w:type="dxa"/>
          </w:tcPr>
          <w:p w14:paraId="0299F0FB" w14:textId="77777777" w:rsidR="00593680" w:rsidRDefault="00AF4AB4">
            <w:pPr>
              <w:spacing w:beforeLines="50" w:before="120" w:line="240" w:lineRule="auto"/>
              <w:rPr>
                <w:rFonts w:ascii="Times New Roman" w:hAnsi="Times New Roman" w:cs="Times New Roman"/>
                <w:bCs/>
                <w:kern w:val="2"/>
                <w:sz w:val="20"/>
                <w:szCs w:val="20"/>
              </w:rPr>
            </w:pPr>
            <w:r>
              <w:rPr>
                <w:rFonts w:ascii="Times New Roman" w:hAnsi="Times New Roman" w:cs="Times New Roman"/>
                <w:bCs/>
                <w:noProof/>
                <w:kern w:val="2"/>
                <w:sz w:val="20"/>
                <w:szCs w:val="20"/>
              </w:rPr>
              <w:drawing>
                <wp:inline distT="0" distB="0" distL="114300" distR="114300">
                  <wp:extent cx="2565400" cy="1924050"/>
                  <wp:effectExtent l="0" t="0" r="6350" b="0"/>
                  <wp:docPr id="23" name="图片 23" descr="spectrum_1sc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spectrum_1sc_pidiv4qpsk_edge"/>
                          <pic:cNvPicPr>
                            <a:picLocks noChangeAspect="1"/>
                          </pic:cNvPicPr>
                        </pic:nvPicPr>
                        <pic:blipFill>
                          <a:blip r:embed="rId22"/>
                          <a:stretch>
                            <a:fillRect/>
                          </a:stretch>
                        </pic:blipFill>
                        <pic:spPr>
                          <a:xfrm>
                            <a:off x="0" y="0"/>
                            <a:ext cx="2565400" cy="1924050"/>
                          </a:xfrm>
                          <a:prstGeom prst="rect">
                            <a:avLst/>
                          </a:prstGeom>
                        </pic:spPr>
                      </pic:pic>
                    </a:graphicData>
                  </a:graphic>
                </wp:inline>
              </w:drawing>
            </w:r>
          </w:p>
        </w:tc>
      </w:tr>
      <w:tr w:rsidR="00593680" w14:paraId="7679FCB9" w14:textId="77777777">
        <w:trPr>
          <w:jc w:val="center"/>
        </w:trPr>
        <w:tc>
          <w:tcPr>
            <w:tcW w:w="4261" w:type="dxa"/>
          </w:tcPr>
          <w:p w14:paraId="3371FB0E" w14:textId="77777777" w:rsidR="00593680" w:rsidRDefault="00AF4AB4">
            <w:pPr>
              <w:numPr>
                <w:ilvl w:val="0"/>
                <w:numId w:val="6"/>
              </w:numPr>
              <w:spacing w:beforeLines="50" w:before="120" w:line="240" w:lineRule="auto"/>
              <w:jc w:val="center"/>
              <w:rPr>
                <w:rFonts w:ascii="Times New Roman" w:hAnsi="Times New Roman" w:cs="Times New Roman"/>
                <w:bCs/>
                <w:kern w:val="2"/>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center subcarrier</w:t>
            </w:r>
          </w:p>
        </w:tc>
        <w:tc>
          <w:tcPr>
            <w:tcW w:w="4261" w:type="dxa"/>
          </w:tcPr>
          <w:p w14:paraId="36B91C28" w14:textId="77777777" w:rsidR="00593680" w:rsidRDefault="00AF4AB4">
            <w:pPr>
              <w:numPr>
                <w:ilvl w:val="0"/>
                <w:numId w:val="6"/>
              </w:numPr>
              <w:spacing w:beforeLines="50" w:before="120" w:line="240" w:lineRule="auto"/>
              <w:jc w:val="center"/>
              <w:rPr>
                <w:rFonts w:ascii="Times New Roman" w:hAnsi="Times New Roman" w:cs="Times New Roman"/>
                <w:bCs/>
                <w:kern w:val="2"/>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edge subcarrier</w:t>
            </w:r>
          </w:p>
        </w:tc>
      </w:tr>
    </w:tbl>
    <w:p w14:paraId="40E14F60" w14:textId="77777777" w:rsidR="00593680" w:rsidRDefault="00AF4AB4">
      <w:pPr>
        <w:pStyle w:val="a3"/>
        <w:rPr>
          <w:b w:val="0"/>
          <w:lang w:val="en-US"/>
        </w:rPr>
      </w:pPr>
      <w:bookmarkStart w:id="9" w:name="_Ref8951"/>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4</w:t>
      </w:r>
      <w:r>
        <w:rPr>
          <w:b w:val="0"/>
          <w:lang w:val="en-US"/>
        </w:rPr>
        <w:fldChar w:fldCharType="end"/>
      </w:r>
      <w:bookmarkEnd w:id="9"/>
      <w:r>
        <w:rPr>
          <w:b w:val="0"/>
          <w:lang w:val="en-US"/>
        </w:rPr>
        <w:t xml:space="preserve"> Spectrum of segmented signal with 1 subcarrier</w:t>
      </w:r>
    </w:p>
    <w:tbl>
      <w:tblPr>
        <w:tblStyle w:val="ab"/>
        <w:tblW w:w="0" w:type="auto"/>
        <w:jc w:val="center"/>
        <w:tblLayout w:type="fixed"/>
        <w:tblLook w:val="04A0" w:firstRow="1" w:lastRow="0" w:firstColumn="1" w:lastColumn="0" w:noHBand="0" w:noVBand="1"/>
      </w:tblPr>
      <w:tblGrid>
        <w:gridCol w:w="4261"/>
        <w:gridCol w:w="4261"/>
      </w:tblGrid>
      <w:tr w:rsidR="00593680" w14:paraId="70FE499E" w14:textId="77777777">
        <w:trPr>
          <w:jc w:val="center"/>
        </w:trPr>
        <w:tc>
          <w:tcPr>
            <w:tcW w:w="4261" w:type="dxa"/>
          </w:tcPr>
          <w:p w14:paraId="1EAEED9E" w14:textId="77777777" w:rsidR="00593680" w:rsidRDefault="00AF4AB4">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0320" cy="1920240"/>
                  <wp:effectExtent l="0" t="0" r="11430" b="3810"/>
                  <wp:docPr id="16" name="图片 16" descr="papr_1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papr_1sc"/>
                          <pic:cNvPicPr>
                            <a:picLocks noChangeAspect="1"/>
                          </pic:cNvPicPr>
                        </pic:nvPicPr>
                        <pic:blipFill>
                          <a:blip r:embed="rId23"/>
                          <a:stretch>
                            <a:fillRect/>
                          </a:stretch>
                        </pic:blipFill>
                        <pic:spPr>
                          <a:xfrm>
                            <a:off x="0" y="0"/>
                            <a:ext cx="2560320" cy="1920240"/>
                          </a:xfrm>
                          <a:prstGeom prst="rect">
                            <a:avLst/>
                          </a:prstGeom>
                        </pic:spPr>
                      </pic:pic>
                    </a:graphicData>
                  </a:graphic>
                </wp:inline>
              </w:drawing>
            </w:r>
          </w:p>
        </w:tc>
        <w:tc>
          <w:tcPr>
            <w:tcW w:w="4261" w:type="dxa"/>
          </w:tcPr>
          <w:p w14:paraId="37DE94C6" w14:textId="77777777" w:rsidR="00593680" w:rsidRDefault="00AF4AB4">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17" name="图片 17" descr="papr_1sc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papr_1sc_edge"/>
                          <pic:cNvPicPr>
                            <a:picLocks noChangeAspect="1"/>
                          </pic:cNvPicPr>
                        </pic:nvPicPr>
                        <pic:blipFill>
                          <a:blip r:embed="rId24"/>
                          <a:stretch>
                            <a:fillRect/>
                          </a:stretch>
                        </pic:blipFill>
                        <pic:spPr>
                          <a:xfrm>
                            <a:off x="0" y="0"/>
                            <a:ext cx="2565400" cy="1924050"/>
                          </a:xfrm>
                          <a:prstGeom prst="rect">
                            <a:avLst/>
                          </a:prstGeom>
                        </pic:spPr>
                      </pic:pic>
                    </a:graphicData>
                  </a:graphic>
                </wp:inline>
              </w:drawing>
            </w:r>
          </w:p>
        </w:tc>
      </w:tr>
      <w:tr w:rsidR="00593680" w14:paraId="378CF40B" w14:textId="77777777">
        <w:trPr>
          <w:jc w:val="center"/>
        </w:trPr>
        <w:tc>
          <w:tcPr>
            <w:tcW w:w="4261" w:type="dxa"/>
          </w:tcPr>
          <w:p w14:paraId="665B1C7F" w14:textId="77777777" w:rsidR="00593680" w:rsidRDefault="00AF4AB4">
            <w:pPr>
              <w:numPr>
                <w:ilvl w:val="0"/>
                <w:numId w:val="7"/>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center subcarrier</w:t>
            </w:r>
          </w:p>
        </w:tc>
        <w:tc>
          <w:tcPr>
            <w:tcW w:w="4261" w:type="dxa"/>
          </w:tcPr>
          <w:p w14:paraId="506115C5" w14:textId="77777777" w:rsidR="00593680" w:rsidRDefault="00AF4AB4">
            <w:pPr>
              <w:numPr>
                <w:ilvl w:val="0"/>
                <w:numId w:val="7"/>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pi/2-BPSK, </w:t>
            </w:r>
            <w:r>
              <w:rPr>
                <w:rFonts w:ascii="Times New Roman" w:eastAsia="黑体" w:hAnsi="Times New Roman" w:cs="Times New Roman"/>
                <w:bCs/>
                <w:sz w:val="20"/>
                <w:szCs w:val="20"/>
              </w:rPr>
              <w:t>edge subcarrier</w:t>
            </w:r>
          </w:p>
        </w:tc>
      </w:tr>
      <w:tr w:rsidR="00593680" w14:paraId="29C7CC2D" w14:textId="77777777">
        <w:trPr>
          <w:jc w:val="center"/>
        </w:trPr>
        <w:tc>
          <w:tcPr>
            <w:tcW w:w="4261" w:type="dxa"/>
          </w:tcPr>
          <w:p w14:paraId="357B1CCB" w14:textId="77777777" w:rsidR="00593680" w:rsidRDefault="00AF4AB4">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lastRenderedPageBreak/>
              <w:drawing>
                <wp:inline distT="0" distB="0" distL="114300" distR="114300">
                  <wp:extent cx="2565400" cy="1924050"/>
                  <wp:effectExtent l="0" t="0" r="6350" b="0"/>
                  <wp:docPr id="20" name="图片 20" descr="papr_1sc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papr_1sc_pidiv4qpsk"/>
                          <pic:cNvPicPr>
                            <a:picLocks noChangeAspect="1"/>
                          </pic:cNvPicPr>
                        </pic:nvPicPr>
                        <pic:blipFill>
                          <a:blip r:embed="rId25"/>
                          <a:stretch>
                            <a:fillRect/>
                          </a:stretch>
                        </pic:blipFill>
                        <pic:spPr>
                          <a:xfrm>
                            <a:off x="0" y="0"/>
                            <a:ext cx="2565400" cy="1924050"/>
                          </a:xfrm>
                          <a:prstGeom prst="rect">
                            <a:avLst/>
                          </a:prstGeom>
                        </pic:spPr>
                      </pic:pic>
                    </a:graphicData>
                  </a:graphic>
                </wp:inline>
              </w:drawing>
            </w:r>
          </w:p>
        </w:tc>
        <w:tc>
          <w:tcPr>
            <w:tcW w:w="4261" w:type="dxa"/>
          </w:tcPr>
          <w:p w14:paraId="4F0C6692" w14:textId="77777777" w:rsidR="00593680" w:rsidRDefault="00AF4AB4">
            <w:pPr>
              <w:spacing w:beforeLines="50" w:before="120" w:line="240" w:lineRule="auto"/>
              <w:jc w:val="center"/>
              <w:rPr>
                <w:rFonts w:ascii="Times New Roman" w:eastAsia="黑体" w:hAnsi="Times New Roman" w:cs="Times New Roman"/>
                <w:bCs/>
                <w:sz w:val="20"/>
                <w:szCs w:val="20"/>
              </w:rPr>
            </w:pPr>
            <w:r>
              <w:rPr>
                <w:rFonts w:ascii="Times New Roman" w:eastAsia="黑体" w:hAnsi="Times New Roman" w:cs="Times New Roman"/>
                <w:bCs/>
                <w:noProof/>
                <w:sz w:val="20"/>
                <w:szCs w:val="20"/>
              </w:rPr>
              <w:drawing>
                <wp:inline distT="0" distB="0" distL="114300" distR="114300">
                  <wp:extent cx="2565400" cy="1924050"/>
                  <wp:effectExtent l="0" t="0" r="6350" b="0"/>
                  <wp:docPr id="21" name="图片 21" descr="papr_1sc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papr_1sc_pidiv4qpsk_edge"/>
                          <pic:cNvPicPr>
                            <a:picLocks noChangeAspect="1"/>
                          </pic:cNvPicPr>
                        </pic:nvPicPr>
                        <pic:blipFill>
                          <a:blip r:embed="rId26"/>
                          <a:stretch>
                            <a:fillRect/>
                          </a:stretch>
                        </pic:blipFill>
                        <pic:spPr>
                          <a:xfrm>
                            <a:off x="0" y="0"/>
                            <a:ext cx="2565400" cy="1924050"/>
                          </a:xfrm>
                          <a:prstGeom prst="rect">
                            <a:avLst/>
                          </a:prstGeom>
                        </pic:spPr>
                      </pic:pic>
                    </a:graphicData>
                  </a:graphic>
                </wp:inline>
              </w:drawing>
            </w:r>
          </w:p>
        </w:tc>
      </w:tr>
      <w:tr w:rsidR="00593680" w14:paraId="6A94B8FD" w14:textId="77777777">
        <w:trPr>
          <w:jc w:val="center"/>
        </w:trPr>
        <w:tc>
          <w:tcPr>
            <w:tcW w:w="4261" w:type="dxa"/>
          </w:tcPr>
          <w:p w14:paraId="70F0ABB8" w14:textId="77777777" w:rsidR="00593680" w:rsidRDefault="00AF4AB4">
            <w:pPr>
              <w:numPr>
                <w:ilvl w:val="0"/>
                <w:numId w:val="7"/>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center subcarrier</w:t>
            </w:r>
          </w:p>
        </w:tc>
        <w:tc>
          <w:tcPr>
            <w:tcW w:w="4261" w:type="dxa"/>
          </w:tcPr>
          <w:p w14:paraId="5BF895B9" w14:textId="77777777" w:rsidR="00593680" w:rsidRDefault="00AF4AB4">
            <w:pPr>
              <w:numPr>
                <w:ilvl w:val="0"/>
                <w:numId w:val="7"/>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 xml:space="preserve">pi/4-QPSK, </w:t>
            </w:r>
            <w:r>
              <w:rPr>
                <w:rFonts w:ascii="Times New Roman" w:eastAsia="黑体" w:hAnsi="Times New Roman" w:cs="Times New Roman"/>
                <w:bCs/>
                <w:sz w:val="20"/>
                <w:szCs w:val="20"/>
              </w:rPr>
              <w:t>edge subcarrier</w:t>
            </w:r>
          </w:p>
        </w:tc>
      </w:tr>
    </w:tbl>
    <w:p w14:paraId="21A1E5AC" w14:textId="032ADBC8" w:rsidR="0003022F" w:rsidRDefault="00AF4AB4" w:rsidP="005335E9">
      <w:pPr>
        <w:spacing w:beforeLines="50" w:before="120" w:line="240" w:lineRule="auto"/>
        <w:jc w:val="center"/>
      </w:pPr>
      <w:bookmarkStart w:id="10" w:name="_Ref140"/>
      <w:r w:rsidRPr="005335E9">
        <w:rPr>
          <w:rFonts w:ascii="Times New Roman" w:eastAsia="宋体" w:hAnsi="Times New Roman" w:cs="Times New Roman"/>
          <w:bCs/>
          <w:kern w:val="2"/>
          <w:sz w:val="20"/>
          <w:szCs w:val="20"/>
        </w:rPr>
        <w:t xml:space="preserve">Figure </w:t>
      </w:r>
      <w:r w:rsidRPr="005335E9">
        <w:rPr>
          <w:rFonts w:ascii="Times New Roman" w:eastAsia="宋体" w:hAnsi="Times New Roman" w:cs="Times New Roman"/>
          <w:bCs/>
          <w:kern w:val="2"/>
          <w:sz w:val="20"/>
          <w:szCs w:val="20"/>
        </w:rPr>
        <w:fldChar w:fldCharType="begin"/>
      </w:r>
      <w:r w:rsidRPr="005335E9">
        <w:rPr>
          <w:rFonts w:ascii="Times New Roman" w:eastAsia="宋体" w:hAnsi="Times New Roman" w:cs="Times New Roman"/>
          <w:bCs/>
          <w:kern w:val="2"/>
          <w:sz w:val="20"/>
          <w:szCs w:val="20"/>
        </w:rPr>
        <w:instrText xml:space="preserve"> SEQ Figure \* ARABIC </w:instrText>
      </w:r>
      <w:r w:rsidRPr="005335E9">
        <w:rPr>
          <w:rFonts w:ascii="Times New Roman" w:eastAsia="宋体" w:hAnsi="Times New Roman" w:cs="Times New Roman"/>
          <w:bCs/>
          <w:kern w:val="2"/>
          <w:sz w:val="20"/>
          <w:szCs w:val="20"/>
        </w:rPr>
        <w:fldChar w:fldCharType="separate"/>
      </w:r>
      <w:r w:rsidRPr="005335E9">
        <w:rPr>
          <w:rFonts w:ascii="Times New Roman" w:eastAsia="宋体" w:hAnsi="Times New Roman" w:cs="Times New Roman"/>
          <w:bCs/>
          <w:kern w:val="2"/>
          <w:sz w:val="20"/>
          <w:szCs w:val="20"/>
        </w:rPr>
        <w:t>5</w:t>
      </w:r>
      <w:r w:rsidRPr="005335E9">
        <w:rPr>
          <w:rFonts w:ascii="Times New Roman" w:eastAsia="宋体" w:hAnsi="Times New Roman" w:cs="Times New Roman"/>
          <w:bCs/>
          <w:kern w:val="2"/>
          <w:sz w:val="20"/>
          <w:szCs w:val="20"/>
        </w:rPr>
        <w:fldChar w:fldCharType="end"/>
      </w:r>
      <w:bookmarkEnd w:id="10"/>
      <w:r w:rsidRPr="005335E9">
        <w:rPr>
          <w:rFonts w:ascii="Times New Roman" w:eastAsia="宋体" w:hAnsi="Times New Roman" w:cs="Times New Roman"/>
          <w:bCs/>
          <w:kern w:val="2"/>
          <w:sz w:val="20"/>
          <w:szCs w:val="20"/>
        </w:rPr>
        <w:t xml:space="preserve"> PAPR of segmented signal with 1 subcarrier</w:t>
      </w:r>
    </w:p>
    <w:p w14:paraId="6F343C64" w14:textId="77777777" w:rsidR="00B341DA" w:rsidRDefault="0003022F" w:rsidP="005335E9">
      <w:pPr>
        <w:ind w:left="420"/>
        <w:rPr>
          <w:rFonts w:ascii="Times New Roman" w:eastAsia="宋体" w:hAnsi="Times New Roman" w:cs="Times New Roman"/>
          <w:sz w:val="20"/>
          <w:szCs w:val="20"/>
        </w:rPr>
      </w:pPr>
      <w:r>
        <w:rPr>
          <w:rFonts w:ascii="Times New Roman" w:eastAsia="宋体" w:hAnsi="Times New Roman" w:cs="Times New Roman"/>
          <w:sz w:val="20"/>
          <w:szCs w:val="20"/>
        </w:rPr>
        <w:t xml:space="preserve">From above results, it can be observed that the impacts on the spectrum leakage is negligible with introduction on the segment pre-compensation. Meanwhile, as the worst case with the shortest segment length (i.e., 1 slot), only minor PAPR </w:t>
      </w:r>
      <w:r>
        <w:rPr>
          <w:rFonts w:ascii="Times New Roman" w:eastAsia="宋体" w:hAnsi="Times New Roman" w:cs="Times New Roman"/>
          <w:sz w:val="20"/>
          <w:szCs w:val="20"/>
        </w:rPr>
        <w:t>increment</w:t>
      </w:r>
      <w:r>
        <w:rPr>
          <w:rFonts w:ascii="Times New Roman" w:eastAsia="宋体" w:hAnsi="Times New Roman" w:cs="Times New Roman"/>
          <w:sz w:val="20"/>
          <w:szCs w:val="20"/>
        </w:rPr>
        <w:t>s are</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observed, e.g., 0.12 dB for pi/2-BPSK and 0.2 dB for pi/4-QPSK at 99.9%, which are acceptable. </w:t>
      </w:r>
    </w:p>
    <w:p w14:paraId="1FF2E38C" w14:textId="02DA4CD1" w:rsidR="00B341DA" w:rsidRDefault="00B341DA" w:rsidP="00B341D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Observation 2: </w:t>
      </w:r>
      <w:r>
        <w:rPr>
          <w:rFonts w:ascii="Times New Roman" w:hAnsi="Times New Roman" w:cs="Times New Roman"/>
          <w:i/>
          <w:sz w:val="20"/>
          <w:szCs w:val="20"/>
        </w:rPr>
        <w:t xml:space="preserve">The PAPR </w:t>
      </w:r>
      <w:r w:rsidR="00973AA5">
        <w:rPr>
          <w:rFonts w:ascii="Times New Roman" w:hAnsi="Times New Roman" w:cs="Times New Roman"/>
          <w:i/>
          <w:sz w:val="20"/>
          <w:szCs w:val="20"/>
        </w:rPr>
        <w:t>increment</w:t>
      </w:r>
      <w:r>
        <w:rPr>
          <w:rFonts w:ascii="Times New Roman" w:hAnsi="Times New Roman" w:cs="Times New Roman"/>
          <w:i/>
          <w:sz w:val="20"/>
          <w:szCs w:val="20"/>
        </w:rPr>
        <w:t xml:space="preserve"> due to phase discontinuity in segmented pre-compensation is acceptable even if no further enhancement is introduced.</w:t>
      </w:r>
    </w:p>
    <w:p w14:paraId="0CF15785" w14:textId="77777777" w:rsidR="00344883" w:rsidRDefault="00B341DA" w:rsidP="005335E9">
      <w:pPr>
        <w:ind w:left="420"/>
        <w:rPr>
          <w:rFonts w:ascii="Times New Roman" w:eastAsia="宋体" w:hAnsi="Times New Roman" w:cs="Times New Roman"/>
          <w:sz w:val="20"/>
          <w:szCs w:val="20"/>
        </w:rPr>
      </w:pPr>
      <w:r>
        <w:rPr>
          <w:rFonts w:ascii="Times New Roman" w:eastAsia="宋体" w:hAnsi="Times New Roman" w:cs="Times New Roman"/>
          <w:sz w:val="20"/>
          <w:szCs w:val="20"/>
        </w:rPr>
        <w:t xml:space="preserve">Actually, in the real implementation, the degradation of PAPR will be further limited with larger segment length. For example, by assuming that the TA drift rate is 100 us/s, which is already larger than the largest TA drift rate in LEO-600 case, the TA variance will be smaller than </w:t>
      </w:r>
      <w:r>
        <w:rPr>
          <w:rFonts w:ascii="Times New Roman" w:eastAsia="宋体" w:hAnsi="Times New Roman" w:cs="Times New Roman"/>
          <w:position w:val="-12"/>
          <w:sz w:val="20"/>
          <w:szCs w:val="20"/>
        </w:rPr>
        <w:object w:dxaOrig="244" w:dyaOrig="366" w14:anchorId="3BE6CA7D">
          <v:shape id="_x0000_i1033" type="#_x0000_t75" style="width:12.2pt;height:18.3pt" o:ole="">
            <v:imagedata r:id="rId9" o:title=""/>
          </v:shape>
          <o:OLEObject Type="Embed" ProgID="Equation.KSEE3" ShapeID="_x0000_i1033" DrawAspect="Content" ObjectID="_1689768991" r:id="rId27"/>
        </w:object>
      </w:r>
      <w:r>
        <w:rPr>
          <w:rFonts w:ascii="Times New Roman" w:eastAsia="宋体" w:hAnsi="Times New Roman" w:cs="Times New Roman"/>
          <w:sz w:val="20"/>
          <w:szCs w:val="20"/>
        </w:rPr>
        <w:t xml:space="preserve"> even when segment length is increased to 32 slots, the impact of segmented pre-compensation with different assumption of segment length is evaluated with the results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_Ref20576 \h </w:instrText>
      </w:r>
      <w:r>
        <w:rPr>
          <w:rFonts w:ascii="Times New Roman" w:eastAsia="宋体" w:hAnsi="Times New Roman" w:cs="Times New Roman"/>
          <w:sz w:val="20"/>
          <w:szCs w:val="20"/>
        </w:rPr>
      </w:r>
      <w:r>
        <w:rPr>
          <w:rFonts w:ascii="Times New Roman" w:eastAsia="宋体" w:hAnsi="Times New Roman" w:cs="Times New Roman"/>
          <w:sz w:val="20"/>
          <w:szCs w:val="20"/>
        </w:rPr>
        <w:instrText xml:space="preserve"> \* MERGEFORMAT </w:instrText>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It can be found that negligible PAPR increment is introduced with segment and further optimization can be achieved with proper setting on segment length.</w:t>
      </w:r>
    </w:p>
    <w:p w14:paraId="53C4B3F0" w14:textId="3F4C1B2E" w:rsidR="00593680" w:rsidRDefault="00344883" w:rsidP="005335E9">
      <w:pPr>
        <w:ind w:left="420"/>
        <w:rPr>
          <w:rFonts w:ascii="Times New Roman" w:eastAsia="宋体" w:hAnsi="Times New Roman" w:cs="Times New Roman"/>
          <w:sz w:val="20"/>
          <w:szCs w:val="20"/>
        </w:rPr>
      </w:pPr>
      <w:r>
        <w:rPr>
          <w:rFonts w:ascii="Times New Roman" w:hAnsi="Times New Roman" w:cs="Times New Roman"/>
          <w:b/>
          <w:i/>
          <w:sz w:val="20"/>
          <w:szCs w:val="20"/>
        </w:rPr>
        <w:t xml:space="preserve">Observation </w:t>
      </w:r>
      <w:r w:rsidR="00654C18">
        <w:rPr>
          <w:rFonts w:ascii="Times New Roman" w:hAnsi="Times New Roman" w:cs="Times New Roman"/>
          <w:b/>
          <w:i/>
          <w:sz w:val="20"/>
          <w:szCs w:val="20"/>
        </w:rPr>
        <w:t>3</w:t>
      </w:r>
      <w:r>
        <w:rPr>
          <w:rFonts w:ascii="Times New Roman" w:hAnsi="Times New Roman" w:cs="Times New Roman"/>
          <w:b/>
          <w:i/>
          <w:sz w:val="20"/>
          <w:szCs w:val="20"/>
        </w:rPr>
        <w:t xml:space="preserve">: </w:t>
      </w:r>
      <w:r w:rsidR="00587444">
        <w:rPr>
          <w:rFonts w:ascii="Times New Roman" w:hAnsi="Times New Roman" w:cs="Times New Roman"/>
          <w:i/>
          <w:sz w:val="20"/>
          <w:szCs w:val="20"/>
        </w:rPr>
        <w:t>Further improvement on the PAPR with proper configuration of segment length can be achieved.</w:t>
      </w:r>
    </w:p>
    <w:tbl>
      <w:tblPr>
        <w:tblStyle w:val="ab"/>
        <w:tblW w:w="0" w:type="auto"/>
        <w:jc w:val="center"/>
        <w:tblLayout w:type="fixed"/>
        <w:tblLook w:val="04A0" w:firstRow="1" w:lastRow="0" w:firstColumn="1" w:lastColumn="0" w:noHBand="0" w:noVBand="1"/>
      </w:tblPr>
      <w:tblGrid>
        <w:gridCol w:w="4261"/>
        <w:gridCol w:w="4261"/>
      </w:tblGrid>
      <w:tr w:rsidR="00593680" w14:paraId="2A593EC7" w14:textId="77777777" w:rsidTr="005335E9">
        <w:trPr>
          <w:jc w:val="center"/>
        </w:trPr>
        <w:tc>
          <w:tcPr>
            <w:tcW w:w="4261" w:type="dxa"/>
          </w:tcPr>
          <w:p w14:paraId="3D4BF10F" w14:textId="77777777" w:rsidR="00593680" w:rsidRPr="005335E9" w:rsidRDefault="00AF4AB4">
            <w:pPr>
              <w:spacing w:beforeLines="50" w:before="120" w:line="240" w:lineRule="auto"/>
              <w:jc w:val="center"/>
              <w:rPr>
                <w:rFonts w:ascii="Times New Roman" w:eastAsia="黑体" w:hAnsi="Times New Roman" w:cs="Times New Roman"/>
                <w:bCs/>
                <w:sz w:val="20"/>
                <w:szCs w:val="20"/>
              </w:rPr>
            </w:pPr>
            <w:r w:rsidRPr="005335E9">
              <w:rPr>
                <w:rFonts w:ascii="Times New Roman" w:eastAsia="黑体" w:hAnsi="Times New Roman" w:cs="Times New Roman"/>
                <w:bCs/>
                <w:noProof/>
                <w:sz w:val="20"/>
                <w:szCs w:val="20"/>
              </w:rPr>
              <w:drawing>
                <wp:inline distT="0" distB="0" distL="114300" distR="114300">
                  <wp:extent cx="2565400" cy="1924050"/>
                  <wp:effectExtent l="0" t="0" r="6350" b="0"/>
                  <wp:docPr id="13" name="图片 13" descr="papr_1scco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apr_1sccomp"/>
                          <pic:cNvPicPr>
                            <a:picLocks noChangeAspect="1"/>
                          </pic:cNvPicPr>
                        </pic:nvPicPr>
                        <pic:blipFill>
                          <a:blip r:embed="rId28"/>
                          <a:stretch>
                            <a:fillRect/>
                          </a:stretch>
                        </pic:blipFill>
                        <pic:spPr>
                          <a:xfrm>
                            <a:off x="0" y="0"/>
                            <a:ext cx="2565400" cy="1924050"/>
                          </a:xfrm>
                          <a:prstGeom prst="rect">
                            <a:avLst/>
                          </a:prstGeom>
                        </pic:spPr>
                      </pic:pic>
                    </a:graphicData>
                  </a:graphic>
                </wp:inline>
              </w:drawing>
            </w:r>
          </w:p>
        </w:tc>
        <w:tc>
          <w:tcPr>
            <w:tcW w:w="4261" w:type="dxa"/>
          </w:tcPr>
          <w:p w14:paraId="256B8EFD" w14:textId="77777777" w:rsidR="00593680" w:rsidRPr="005335E9" w:rsidRDefault="00AF4AB4">
            <w:pPr>
              <w:spacing w:beforeLines="50" w:before="120" w:line="240" w:lineRule="auto"/>
              <w:jc w:val="center"/>
              <w:rPr>
                <w:rFonts w:ascii="Times New Roman" w:eastAsia="黑体" w:hAnsi="Times New Roman" w:cs="Times New Roman"/>
                <w:bCs/>
                <w:sz w:val="20"/>
                <w:szCs w:val="20"/>
              </w:rPr>
            </w:pPr>
            <w:r w:rsidRPr="005335E9">
              <w:rPr>
                <w:rFonts w:ascii="Times New Roman" w:eastAsia="黑体" w:hAnsi="Times New Roman" w:cs="Times New Roman"/>
                <w:bCs/>
                <w:noProof/>
                <w:sz w:val="20"/>
                <w:szCs w:val="20"/>
              </w:rPr>
              <w:drawing>
                <wp:inline distT="0" distB="0" distL="114300" distR="114300">
                  <wp:extent cx="2565400" cy="1924050"/>
                  <wp:effectExtent l="0" t="0" r="6350" b="0"/>
                  <wp:docPr id="14" name="图片 14" descr="papr_1sccomp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apr_1sccomp_edge"/>
                          <pic:cNvPicPr>
                            <a:picLocks noChangeAspect="1"/>
                          </pic:cNvPicPr>
                        </pic:nvPicPr>
                        <pic:blipFill>
                          <a:blip r:embed="rId29"/>
                          <a:stretch>
                            <a:fillRect/>
                          </a:stretch>
                        </pic:blipFill>
                        <pic:spPr>
                          <a:xfrm>
                            <a:off x="0" y="0"/>
                            <a:ext cx="2565400" cy="1924050"/>
                          </a:xfrm>
                          <a:prstGeom prst="rect">
                            <a:avLst/>
                          </a:prstGeom>
                        </pic:spPr>
                      </pic:pic>
                    </a:graphicData>
                  </a:graphic>
                </wp:inline>
              </w:drawing>
            </w:r>
          </w:p>
        </w:tc>
      </w:tr>
      <w:tr w:rsidR="00593680" w14:paraId="4DF9335B" w14:textId="77777777" w:rsidTr="005335E9">
        <w:trPr>
          <w:jc w:val="center"/>
        </w:trPr>
        <w:tc>
          <w:tcPr>
            <w:tcW w:w="4261" w:type="dxa"/>
          </w:tcPr>
          <w:p w14:paraId="3CCA1AFB" w14:textId="77777777" w:rsidR="00593680" w:rsidRPr="005335E9" w:rsidRDefault="00AF4AB4">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pi/2-BPSK</w:t>
            </w:r>
            <w:r w:rsidRPr="005335E9">
              <w:rPr>
                <w:rFonts w:ascii="Times New Roman" w:hAnsi="Times New Roman" w:cs="Times New Roman"/>
                <w:bCs/>
                <w:kern w:val="2"/>
                <w:sz w:val="20"/>
                <w:szCs w:val="20"/>
              </w:rPr>
              <w:t xml:space="preserve">, </w:t>
            </w:r>
            <w:r w:rsidRPr="005335E9">
              <w:rPr>
                <w:rFonts w:ascii="Times New Roman" w:eastAsia="黑体" w:hAnsi="Times New Roman" w:cs="Times New Roman"/>
                <w:bCs/>
                <w:sz w:val="20"/>
                <w:szCs w:val="20"/>
              </w:rPr>
              <w:t>center subcarrier</w:t>
            </w:r>
          </w:p>
        </w:tc>
        <w:tc>
          <w:tcPr>
            <w:tcW w:w="4261" w:type="dxa"/>
          </w:tcPr>
          <w:p w14:paraId="3079DBFD" w14:textId="77777777" w:rsidR="00593680" w:rsidRPr="005335E9" w:rsidRDefault="00AF4AB4">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pi/2-BPSK</w:t>
            </w:r>
            <w:r w:rsidRPr="005335E9">
              <w:rPr>
                <w:rFonts w:ascii="Times New Roman" w:hAnsi="Times New Roman" w:cs="Times New Roman"/>
                <w:bCs/>
                <w:kern w:val="2"/>
                <w:sz w:val="20"/>
                <w:szCs w:val="20"/>
              </w:rPr>
              <w:t xml:space="preserve">, </w:t>
            </w:r>
            <w:r w:rsidRPr="005335E9">
              <w:rPr>
                <w:rFonts w:ascii="Times New Roman" w:eastAsia="黑体" w:hAnsi="Times New Roman" w:cs="Times New Roman"/>
                <w:bCs/>
                <w:sz w:val="20"/>
                <w:szCs w:val="20"/>
              </w:rPr>
              <w:t>edge subcarrier</w:t>
            </w:r>
          </w:p>
        </w:tc>
      </w:tr>
      <w:tr w:rsidR="00593680" w14:paraId="730A948A" w14:textId="77777777" w:rsidTr="005335E9">
        <w:trPr>
          <w:jc w:val="center"/>
        </w:trPr>
        <w:tc>
          <w:tcPr>
            <w:tcW w:w="4261" w:type="dxa"/>
          </w:tcPr>
          <w:p w14:paraId="6C33F79B" w14:textId="77777777" w:rsidR="00593680" w:rsidRPr="005335E9" w:rsidRDefault="00AF4AB4">
            <w:pPr>
              <w:spacing w:beforeLines="50" w:before="120" w:line="240" w:lineRule="auto"/>
              <w:rPr>
                <w:rFonts w:ascii="Times New Roman" w:eastAsia="黑体" w:hAnsi="Times New Roman" w:cs="Times New Roman"/>
                <w:bCs/>
                <w:sz w:val="20"/>
                <w:szCs w:val="20"/>
              </w:rPr>
            </w:pPr>
            <w:r w:rsidRPr="005335E9">
              <w:rPr>
                <w:rFonts w:ascii="Times New Roman" w:eastAsia="黑体" w:hAnsi="Times New Roman" w:cs="Times New Roman"/>
                <w:bCs/>
                <w:noProof/>
                <w:sz w:val="20"/>
                <w:szCs w:val="20"/>
              </w:rPr>
              <w:lastRenderedPageBreak/>
              <w:drawing>
                <wp:inline distT="0" distB="0" distL="114300" distR="114300">
                  <wp:extent cx="2565400" cy="1924050"/>
                  <wp:effectExtent l="0" t="0" r="6350" b="0"/>
                  <wp:docPr id="15" name="图片 15" descr="papr_1sccomp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papr_1sccomp_pidiv4qpsk"/>
                          <pic:cNvPicPr>
                            <a:picLocks noChangeAspect="1"/>
                          </pic:cNvPicPr>
                        </pic:nvPicPr>
                        <pic:blipFill>
                          <a:blip r:embed="rId30"/>
                          <a:stretch>
                            <a:fillRect/>
                          </a:stretch>
                        </pic:blipFill>
                        <pic:spPr>
                          <a:xfrm>
                            <a:off x="0" y="0"/>
                            <a:ext cx="2565400" cy="1924050"/>
                          </a:xfrm>
                          <a:prstGeom prst="rect">
                            <a:avLst/>
                          </a:prstGeom>
                        </pic:spPr>
                      </pic:pic>
                    </a:graphicData>
                  </a:graphic>
                </wp:inline>
              </w:drawing>
            </w:r>
          </w:p>
        </w:tc>
        <w:tc>
          <w:tcPr>
            <w:tcW w:w="4261" w:type="dxa"/>
          </w:tcPr>
          <w:p w14:paraId="20AEF570" w14:textId="77777777" w:rsidR="00593680" w:rsidRPr="005335E9" w:rsidRDefault="00AF4AB4">
            <w:pPr>
              <w:spacing w:beforeLines="50" w:before="120" w:line="240" w:lineRule="auto"/>
              <w:rPr>
                <w:rFonts w:ascii="Times New Roman" w:eastAsia="黑体" w:hAnsi="Times New Roman" w:cs="Times New Roman"/>
                <w:bCs/>
                <w:sz w:val="20"/>
                <w:szCs w:val="20"/>
              </w:rPr>
            </w:pPr>
            <w:r w:rsidRPr="005335E9">
              <w:rPr>
                <w:rFonts w:ascii="Times New Roman" w:eastAsia="黑体" w:hAnsi="Times New Roman" w:cs="Times New Roman"/>
                <w:bCs/>
                <w:noProof/>
                <w:sz w:val="20"/>
                <w:szCs w:val="20"/>
              </w:rPr>
              <w:drawing>
                <wp:inline distT="0" distB="0" distL="114300" distR="114300">
                  <wp:extent cx="2565400" cy="1924050"/>
                  <wp:effectExtent l="0" t="0" r="6350" b="0"/>
                  <wp:docPr id="26" name="图片 26" descr="papr_1sccomp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papr_1sccomp_pidiv4qpsk_edge"/>
                          <pic:cNvPicPr>
                            <a:picLocks noChangeAspect="1"/>
                          </pic:cNvPicPr>
                        </pic:nvPicPr>
                        <pic:blipFill>
                          <a:blip r:embed="rId31"/>
                          <a:stretch>
                            <a:fillRect/>
                          </a:stretch>
                        </pic:blipFill>
                        <pic:spPr>
                          <a:xfrm>
                            <a:off x="0" y="0"/>
                            <a:ext cx="2565400" cy="1924050"/>
                          </a:xfrm>
                          <a:prstGeom prst="rect">
                            <a:avLst/>
                          </a:prstGeom>
                        </pic:spPr>
                      </pic:pic>
                    </a:graphicData>
                  </a:graphic>
                </wp:inline>
              </w:drawing>
            </w:r>
          </w:p>
        </w:tc>
      </w:tr>
      <w:tr w:rsidR="00593680" w14:paraId="6DCFFC7F" w14:textId="77777777" w:rsidTr="005335E9">
        <w:trPr>
          <w:jc w:val="center"/>
        </w:trPr>
        <w:tc>
          <w:tcPr>
            <w:tcW w:w="4261" w:type="dxa"/>
          </w:tcPr>
          <w:p w14:paraId="77F15D94" w14:textId="77777777" w:rsidR="00593680" w:rsidRPr="005335E9" w:rsidRDefault="00AF4AB4">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pi/</w:t>
            </w:r>
            <w:r w:rsidRPr="005335E9">
              <w:rPr>
                <w:rFonts w:ascii="Times New Roman" w:hAnsi="Times New Roman" w:cs="Times New Roman"/>
                <w:bCs/>
                <w:kern w:val="2"/>
                <w:sz w:val="20"/>
                <w:szCs w:val="20"/>
              </w:rPr>
              <w:t>4</w:t>
            </w:r>
            <w:r>
              <w:rPr>
                <w:rFonts w:ascii="Times New Roman" w:hAnsi="Times New Roman" w:cs="Times New Roman"/>
                <w:bCs/>
                <w:kern w:val="2"/>
                <w:sz w:val="20"/>
                <w:szCs w:val="20"/>
              </w:rPr>
              <w:t>-</w:t>
            </w:r>
            <w:r w:rsidRPr="005335E9">
              <w:rPr>
                <w:rFonts w:ascii="Times New Roman" w:hAnsi="Times New Roman" w:cs="Times New Roman"/>
                <w:bCs/>
                <w:kern w:val="2"/>
                <w:sz w:val="20"/>
                <w:szCs w:val="20"/>
              </w:rPr>
              <w:t>Q</w:t>
            </w:r>
            <w:r>
              <w:rPr>
                <w:rFonts w:ascii="Times New Roman" w:hAnsi="Times New Roman" w:cs="Times New Roman"/>
                <w:bCs/>
                <w:kern w:val="2"/>
                <w:sz w:val="20"/>
                <w:szCs w:val="20"/>
              </w:rPr>
              <w:t>PSK</w:t>
            </w:r>
            <w:r w:rsidRPr="005335E9">
              <w:rPr>
                <w:rFonts w:ascii="Times New Roman" w:hAnsi="Times New Roman" w:cs="Times New Roman"/>
                <w:bCs/>
                <w:kern w:val="2"/>
                <w:sz w:val="20"/>
                <w:szCs w:val="20"/>
              </w:rPr>
              <w:t xml:space="preserve">, </w:t>
            </w:r>
            <w:r w:rsidRPr="005335E9">
              <w:rPr>
                <w:rFonts w:ascii="Times New Roman" w:eastAsia="黑体" w:hAnsi="Times New Roman" w:cs="Times New Roman"/>
                <w:bCs/>
                <w:sz w:val="20"/>
                <w:szCs w:val="20"/>
              </w:rPr>
              <w:t>center subcarrier</w:t>
            </w:r>
          </w:p>
        </w:tc>
        <w:tc>
          <w:tcPr>
            <w:tcW w:w="4261" w:type="dxa"/>
          </w:tcPr>
          <w:p w14:paraId="019FE2E4" w14:textId="77777777" w:rsidR="00593680" w:rsidRPr="005335E9" w:rsidRDefault="00AF4AB4">
            <w:pPr>
              <w:numPr>
                <w:ilvl w:val="0"/>
                <w:numId w:val="8"/>
              </w:numPr>
              <w:spacing w:beforeLines="50" w:before="120" w:line="240" w:lineRule="auto"/>
              <w:jc w:val="center"/>
              <w:rPr>
                <w:rFonts w:ascii="Times New Roman" w:eastAsia="黑体" w:hAnsi="Times New Roman" w:cs="Times New Roman"/>
                <w:bCs/>
                <w:sz w:val="20"/>
                <w:szCs w:val="20"/>
              </w:rPr>
            </w:pPr>
            <w:r>
              <w:rPr>
                <w:rFonts w:ascii="Times New Roman" w:hAnsi="Times New Roman" w:cs="Times New Roman"/>
                <w:bCs/>
                <w:kern w:val="2"/>
                <w:sz w:val="20"/>
                <w:szCs w:val="20"/>
              </w:rPr>
              <w:t>pi/</w:t>
            </w:r>
            <w:r w:rsidRPr="005335E9">
              <w:rPr>
                <w:rFonts w:ascii="Times New Roman" w:hAnsi="Times New Roman" w:cs="Times New Roman"/>
                <w:bCs/>
                <w:kern w:val="2"/>
                <w:sz w:val="20"/>
                <w:szCs w:val="20"/>
              </w:rPr>
              <w:t>4</w:t>
            </w:r>
            <w:r>
              <w:rPr>
                <w:rFonts w:ascii="Times New Roman" w:hAnsi="Times New Roman" w:cs="Times New Roman"/>
                <w:bCs/>
                <w:kern w:val="2"/>
                <w:sz w:val="20"/>
                <w:szCs w:val="20"/>
              </w:rPr>
              <w:t>-</w:t>
            </w:r>
            <w:r w:rsidRPr="005335E9">
              <w:rPr>
                <w:rFonts w:ascii="Times New Roman" w:hAnsi="Times New Roman" w:cs="Times New Roman"/>
                <w:bCs/>
                <w:kern w:val="2"/>
                <w:sz w:val="20"/>
                <w:szCs w:val="20"/>
              </w:rPr>
              <w:t>Q</w:t>
            </w:r>
            <w:r>
              <w:rPr>
                <w:rFonts w:ascii="Times New Roman" w:hAnsi="Times New Roman" w:cs="Times New Roman"/>
                <w:bCs/>
                <w:kern w:val="2"/>
                <w:sz w:val="20"/>
                <w:szCs w:val="20"/>
              </w:rPr>
              <w:t>PSK</w:t>
            </w:r>
            <w:r w:rsidRPr="005335E9">
              <w:rPr>
                <w:rFonts w:ascii="Times New Roman" w:hAnsi="Times New Roman" w:cs="Times New Roman"/>
                <w:bCs/>
                <w:kern w:val="2"/>
                <w:sz w:val="20"/>
                <w:szCs w:val="20"/>
              </w:rPr>
              <w:t xml:space="preserve">, </w:t>
            </w:r>
            <w:r w:rsidRPr="005335E9">
              <w:rPr>
                <w:rFonts w:ascii="Times New Roman" w:eastAsia="黑体" w:hAnsi="Times New Roman" w:cs="Times New Roman"/>
                <w:bCs/>
                <w:sz w:val="20"/>
                <w:szCs w:val="20"/>
              </w:rPr>
              <w:t>edge subcarrier</w:t>
            </w:r>
          </w:p>
        </w:tc>
      </w:tr>
    </w:tbl>
    <w:p w14:paraId="5F1692C4" w14:textId="77777777" w:rsidR="00593680" w:rsidRDefault="00AF4AB4" w:rsidP="005335E9">
      <w:pPr>
        <w:pStyle w:val="a3"/>
        <w:spacing w:beforeLines="50" w:before="120"/>
        <w:rPr>
          <w:b w:val="0"/>
          <w:lang w:val="en-US"/>
        </w:rPr>
      </w:pPr>
      <w:bookmarkStart w:id="11" w:name="_Ref2057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6</w:t>
      </w:r>
      <w:r>
        <w:rPr>
          <w:b w:val="0"/>
          <w:lang w:val="en-US"/>
        </w:rPr>
        <w:fldChar w:fldCharType="end"/>
      </w:r>
      <w:bookmarkEnd w:id="11"/>
      <w:r>
        <w:rPr>
          <w:b w:val="0"/>
          <w:lang w:val="en-US"/>
        </w:rPr>
        <w:t xml:space="preserve"> PAPR of segmented signal with 1 subcarrier</w:t>
      </w:r>
      <w:r>
        <w:rPr>
          <w:b w:val="0"/>
          <w:lang w:val="en-US"/>
        </w:rPr>
        <w:t xml:space="preserve"> with</w:t>
      </w:r>
      <w:r>
        <w:rPr>
          <w:rFonts w:hint="eastAsia"/>
          <w:b w:val="0"/>
          <w:lang w:val="en-US"/>
        </w:rPr>
        <w:t xml:space="preserve"> 100 us/s TA drift rate</w:t>
      </w:r>
    </w:p>
    <w:p w14:paraId="7FF03C8F"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If segment overlap and phase discontinuity are expected to be canceled, two methods are proposed in study phase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_Ref3789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14:paraId="3E503835" w14:textId="77777777" w:rsidR="00593680" w:rsidRDefault="00AF4AB4">
      <w:pPr>
        <w:numPr>
          <w:ilvl w:val="0"/>
          <w:numId w:val="9"/>
        </w:numPr>
        <w:adjustRightInd w:val="0"/>
        <w:snapToGrid w:val="0"/>
        <w:spacing w:beforeLines="50" w:before="120" w:afterLines="50" w:after="120" w:line="260" w:lineRule="auto"/>
        <w:rPr>
          <w:rFonts w:ascii="Times New Roman" w:eastAsia="宋体" w:hAnsi="Times New Roman" w:cs="Times New Roman"/>
          <w:sz w:val="20"/>
          <w:szCs w:val="20"/>
        </w:rPr>
      </w:pPr>
      <w:r>
        <w:rPr>
          <w:rFonts w:ascii="Times New Roman" w:eastAsia="宋体" w:hAnsi="Times New Roman" w:cs="Times New Roman"/>
          <w:sz w:val="20"/>
          <w:szCs w:val="20"/>
        </w:rPr>
        <w:t>Segmented UE pre-compensation</w:t>
      </w:r>
      <w:r>
        <w:rPr>
          <w:rFonts w:ascii="Times New Roman" w:eastAsia="宋体" w:hAnsi="Times New Roman" w:cs="Times New Roman"/>
          <w:sz w:val="20"/>
          <w:szCs w:val="20"/>
        </w:rPr>
        <w:t xml:space="preserve"> via more frequent new UL gaps</w:t>
      </w:r>
    </w:p>
    <w:p w14:paraId="26890CEB" w14:textId="77777777" w:rsidR="00593680" w:rsidRDefault="00AF4AB4">
      <w:pPr>
        <w:numPr>
          <w:ilvl w:val="0"/>
          <w:numId w:val="9"/>
        </w:numPr>
        <w:adjustRightInd w:val="0"/>
        <w:snapToGrid w:val="0"/>
        <w:spacing w:beforeLines="50" w:before="120" w:afterLines="50" w:after="120" w:line="260" w:lineRule="auto"/>
        <w:rPr>
          <w:rFonts w:ascii="Times New Roman" w:eastAsia="宋体" w:hAnsi="Times New Roman" w:cs="Times New Roman"/>
          <w:sz w:val="20"/>
          <w:szCs w:val="20"/>
        </w:rPr>
      </w:pPr>
      <w:r>
        <w:rPr>
          <w:rFonts w:ascii="Times New Roman" w:eastAsia="宋体" w:hAnsi="Times New Roman" w:cs="Times New Roman"/>
          <w:sz w:val="20"/>
          <w:szCs w:val="20"/>
        </w:rPr>
        <w:t>Segmented UE pre-compensation via UE implementation with sampling rate adjustment in device (and no new UL gaps)</w:t>
      </w:r>
    </w:p>
    <w:p w14:paraId="72C147AB"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first method, more frequent UL gaps will be inserted between segments. In this way, the overlap between </w:t>
      </w:r>
      <w:r>
        <w:rPr>
          <w:rFonts w:ascii="Times New Roman" w:eastAsia="宋体" w:hAnsi="Times New Roman" w:cs="Times New Roman"/>
          <w:sz w:val="20"/>
          <w:szCs w:val="20"/>
        </w:rPr>
        <w:t>segments can be avoided when TA is adjusted. Hence, the phase discontinuity due to UL signal puncturing, which is performed at segment boundary to advance the transmission timing, can also be avoided. The additional UL gap does not need to be as large as t</w:t>
      </w:r>
      <w:r>
        <w:rPr>
          <w:rFonts w:ascii="Times New Roman" w:eastAsia="宋体" w:hAnsi="Times New Roman" w:cs="Times New Roman"/>
          <w:sz w:val="20"/>
          <w:szCs w:val="20"/>
        </w:rPr>
        <w:t>raditional 40 ms UL gap since it is mainly to handle the overlap between segments instead of recovering DL synchronization.</w:t>
      </w:r>
    </w:p>
    <w:p w14:paraId="7BE76314"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second method, sampling frequency adjustment is proposed to compensate the delay drift instead of a TA. In this way, although pha</w:t>
      </w:r>
      <w:r>
        <w:rPr>
          <w:rFonts w:ascii="Times New Roman" w:eastAsia="宋体" w:hAnsi="Times New Roman" w:cs="Times New Roman"/>
          <w:sz w:val="20"/>
          <w:szCs w:val="20"/>
        </w:rPr>
        <w:t>se discontinuity and segment overlap can be alleviated without new UL gaps, additional complexity at UE side will be introduced since the oscillator should be accurately and frequently adjusted in a wide range. For example, by assuming that maximum delay d</w:t>
      </w:r>
      <w:r>
        <w:rPr>
          <w:rFonts w:ascii="Times New Roman" w:eastAsia="宋体" w:hAnsi="Times New Roman" w:cs="Times New Roman"/>
          <w:sz w:val="20"/>
          <w:szCs w:val="20"/>
        </w:rPr>
        <w:t xml:space="preserve">rift is 50 us/s, the oscillator should be tuned in the range -50 ppm ~ 50 ppm. Moreover, in order to ensure that residual timing drift is smaller than </w:t>
      </w:r>
      <w:r>
        <w:rPr>
          <w:rFonts w:ascii="Times New Roman" w:eastAsia="宋体" w:hAnsi="Times New Roman" w:cs="Times New Roman"/>
          <w:position w:val="-12"/>
          <w:sz w:val="20"/>
          <w:szCs w:val="20"/>
        </w:rPr>
        <w:object w:dxaOrig="244" w:dyaOrig="366" w14:anchorId="67181699">
          <v:shape id="_x0000_i1030" type="#_x0000_t75" style="width:12.2pt;height:18.3pt" o:ole="">
            <v:imagedata r:id="rId9" o:title=""/>
          </v:shape>
          <o:OLEObject Type="Embed" ProgID="Equation.KSEE3" ShapeID="_x0000_i1030" DrawAspect="Content" ObjectID="_1689768992" r:id="rId32"/>
        </w:object>
      </w:r>
      <w:r>
        <w:rPr>
          <w:rFonts w:ascii="Times New Roman" w:eastAsia="宋体" w:hAnsi="Times New Roman" w:cs="Times New Roman"/>
          <w:sz w:val="20"/>
          <w:szCs w:val="20"/>
        </w:rPr>
        <w:t xml:space="preserve"> for traditional 256 ms segment, the granularity is at most </w:t>
      </w:r>
      <w:r>
        <w:rPr>
          <w:rFonts w:ascii="Times New Roman" w:eastAsia="宋体" w:hAnsi="Times New Roman" w:cs="Times New Roman"/>
          <w:position w:val="-12"/>
          <w:sz w:val="20"/>
          <w:szCs w:val="20"/>
        </w:rPr>
        <w:object w:dxaOrig="975" w:dyaOrig="366" w14:anchorId="4C1CE9BA">
          <v:shape id="_x0000_i1031" type="#_x0000_t75" style="width:48.75pt;height:18.3pt" o:ole="">
            <v:imagedata r:id="rId33" o:title=""/>
          </v:shape>
          <o:OLEObject Type="Embed" ProgID="Equation.KSEE3" ShapeID="_x0000_i1031" DrawAspect="Content" ObjectID="_1689768993" r:id="rId34"/>
        </w:object>
      </w:r>
      <w:r>
        <w:rPr>
          <w:rFonts w:ascii="Times New Roman" w:eastAsia="宋体" w:hAnsi="Times New Roman" w:cs="Times New Roman"/>
          <w:sz w:val="20"/>
          <w:szCs w:val="20"/>
        </w:rPr>
        <w:t>, i.e., 10.17 ppm for NB-IoT (Te = 80Ts) and 3.05 ppm for eMTC (Te = 24Ts). Hence, this implementation based method is not preferred when compared with first method where more UL gaps are introduced.</w:t>
      </w:r>
    </w:p>
    <w:p w14:paraId="762F92A6" w14:textId="1D770D03" w:rsidR="00593680" w:rsidRDefault="00AF4AB4">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 xml:space="preserve">Observation </w:t>
      </w:r>
      <w:r w:rsidR="00541CF8">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hAnsi="Times New Roman" w:cs="Times New Roman"/>
          <w:i/>
          <w:sz w:val="20"/>
          <w:szCs w:val="20"/>
        </w:rPr>
        <w:t xml:space="preserve"> Additional compl</w:t>
      </w:r>
      <w:r>
        <w:rPr>
          <w:rFonts w:ascii="Times New Roman" w:hAnsi="Times New Roman" w:cs="Times New Roman"/>
          <w:i/>
          <w:sz w:val="20"/>
          <w:szCs w:val="20"/>
        </w:rPr>
        <w:t>exity on the UE is needed to achieve the UE implementation with sampling rate adjustment in device.</w:t>
      </w:r>
    </w:p>
    <w:p w14:paraId="1A19EB55" w14:textId="7B3ADB5E"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Proposal 4:</w:t>
      </w:r>
      <w:r>
        <w:rPr>
          <w:rFonts w:ascii="Times New Roman" w:hAnsi="Times New Roman" w:cs="Times New Roman"/>
          <w:i/>
          <w:sz w:val="20"/>
          <w:szCs w:val="20"/>
        </w:rPr>
        <w:t xml:space="preserve"> If the phase discontinuity is needed to be handled, </w:t>
      </w:r>
      <w:r w:rsidR="001A2364">
        <w:rPr>
          <w:rFonts w:ascii="Times New Roman" w:hAnsi="Times New Roman" w:cs="Times New Roman"/>
          <w:i/>
          <w:sz w:val="20"/>
          <w:szCs w:val="20"/>
        </w:rPr>
        <w:t xml:space="preserve">introduction of </w:t>
      </w:r>
      <w:r>
        <w:rPr>
          <w:rFonts w:ascii="Times New Roman" w:hAnsi="Times New Roman" w:cs="Times New Roman"/>
          <w:i/>
          <w:sz w:val="20"/>
          <w:szCs w:val="20"/>
        </w:rPr>
        <w:t>new UL gap</w:t>
      </w:r>
      <w:r>
        <w:rPr>
          <w:rFonts w:ascii="Times New Roman" w:hAnsi="Times New Roman" w:cs="Times New Roman"/>
          <w:i/>
          <w:sz w:val="20"/>
          <w:szCs w:val="20"/>
        </w:rPr>
        <w:t xml:space="preserve"> is preferred.</w:t>
      </w:r>
    </w:p>
    <w:p w14:paraId="6F65EDA0" w14:textId="77777777" w:rsidR="00593680" w:rsidRDefault="00AF4AB4">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the GNSS</w:t>
      </w:r>
    </w:p>
    <w:p w14:paraId="3459F37C"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If a UE is in RRC connection state for a lo</w:t>
      </w:r>
      <w:r>
        <w:rPr>
          <w:rFonts w:ascii="Times New Roman" w:eastAsia="宋体" w:hAnsi="Times New Roman" w:cs="Times New Roman"/>
          <w:sz w:val="20"/>
          <w:szCs w:val="20"/>
        </w:rPr>
        <w:t>ng time, its movement will cause error in the UE position used in pre-compensation, which subsequently leads to TA error and Doppler error. If the accumulated error is too large, it can be solved by a new GNSS position fix or closed loop TA maintenance mec</w:t>
      </w:r>
      <w:r>
        <w:rPr>
          <w:rFonts w:ascii="Times New Roman" w:eastAsia="宋体" w:hAnsi="Times New Roman" w:cs="Times New Roman"/>
          <w:sz w:val="20"/>
          <w:szCs w:val="20"/>
        </w:rPr>
        <w:t>hanism.</w:t>
      </w:r>
    </w:p>
    <w:p w14:paraId="79DEA64C"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RAN1#105e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_Ref3789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it has been agreed to further study the potential impact of GNSS position error on the existing closed loop TA maintenance mechanism. The largest challenge for the existing closed loop TA mechanism is the accumulated TA error in the connected mode eDRX. </w:t>
      </w:r>
      <w:r>
        <w:rPr>
          <w:rFonts w:ascii="Times New Roman" w:eastAsia="宋体" w:hAnsi="Times New Roman" w:cs="Times New Roman"/>
          <w:sz w:val="20"/>
          <w:szCs w:val="20"/>
        </w:rPr>
        <w:t xml:space="preserve">In the sleep state, the UE cannot receive TA MAC CE to adjust the TA. The sleep state can be up to nearly 10s, and in the worst case the accumulated TA error is about </w:t>
      </w:r>
      <w:r>
        <w:rPr>
          <w:rFonts w:ascii="Times New Roman" w:eastAsia="宋体" w:hAnsi="Times New Roman" w:cs="Times New Roman"/>
          <w:sz w:val="20"/>
          <w:szCs w:val="20"/>
        </w:rPr>
        <w:lastRenderedPageBreak/>
        <w:t xml:space="preserve">2 us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_Ref7112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If the maximal tolerable TA error is CP/2, in the case of connected state and 15 kHz SCS it is 2.34us, and the existing closed loop TA maintenance mechanism is enough.</w:t>
      </w:r>
    </w:p>
    <w:p w14:paraId="6D9EB209"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the worst case, a UE is assumed to have velocity of </w:t>
      </w:r>
      <w:r>
        <w:rPr>
          <w:rFonts w:ascii="Times New Roman" w:eastAsia="宋体" w:hAnsi="Times New Roman" w:cs="Times New Roman"/>
          <w:sz w:val="20"/>
          <w:szCs w:val="20"/>
        </w:rPr>
        <w:t xml:space="preserve">120km/h, elevation angle of 10 degree, and always moves in the worst direction. However, a UE generally won’t satisfies these conditions. With the assumption that a UE moves in random direction with elevation angle of 10 degree and velocity of 120 km/h in </w:t>
      </w:r>
      <w:r>
        <w:rPr>
          <w:rFonts w:ascii="Times New Roman" w:eastAsia="宋体" w:hAnsi="Times New Roman" w:cs="Times New Roman"/>
          <w:sz w:val="20"/>
          <w:szCs w:val="20"/>
        </w:rPr>
        <w:t xml:space="preserve">every second,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_Ref7112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TA error has a large probability to be much smaller than the worst case. If the UE is allowed to be out of sync for a lit</w:t>
      </w:r>
      <w:r>
        <w:rPr>
          <w:rFonts w:ascii="Times New Roman" w:eastAsia="宋体" w:hAnsi="Times New Roman" w:cs="Times New Roman"/>
          <w:sz w:val="20"/>
          <w:szCs w:val="20"/>
        </w:rPr>
        <w:t>tle probability, the validity time of each GNSS position fix can be largely extended. And when the out of sync happens, the UE can perform radio link recovery (RLF). No extra enhancement for closed loop TA maintenance mechanism is needed in long connection</w:t>
      </w:r>
      <w:r>
        <w:rPr>
          <w:rFonts w:ascii="Times New Roman" w:eastAsia="宋体" w:hAnsi="Times New Roman" w:cs="Times New Roman"/>
          <w:sz w:val="20"/>
          <w:szCs w:val="20"/>
        </w:rPr>
        <w:t>.</w:t>
      </w:r>
    </w:p>
    <w:p w14:paraId="7C20E9FE"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hAnsi="Times New Roman" w:cs="Times New Roman"/>
          <w:b/>
          <w:i/>
          <w:sz w:val="20"/>
          <w:szCs w:val="20"/>
        </w:rPr>
        <w:t>Proposal 5:</w:t>
      </w:r>
      <w:r>
        <w:rPr>
          <w:rFonts w:ascii="Times New Roman" w:hAnsi="Times New Roman" w:cs="Times New Roman"/>
          <w:i/>
          <w:sz w:val="20"/>
          <w:szCs w:val="20"/>
        </w:rPr>
        <w:t xml:space="preserve"> No extra enhancement for closed loop TA maintenance mechanism is needed in long connection.</w:t>
      </w:r>
    </w:p>
    <w:p w14:paraId="15BDB6AD" w14:textId="77777777" w:rsidR="00593680" w:rsidRDefault="00AF4AB4">
      <w:pPr>
        <w:pStyle w:val="ad"/>
        <w:spacing w:beforeLines="50" w:before="120" w:afterLines="50" w:after="120" w:line="240" w:lineRule="auto"/>
        <w:ind w:leftChars="200" w:left="440" w:firstLineChars="0" w:firstLine="0"/>
        <w:rPr>
          <w:rFonts w:ascii="Times New Roman" w:hAnsi="Times New Roman" w:cs="Times New Roman"/>
        </w:rPr>
      </w:pPr>
      <w:r>
        <w:rPr>
          <w:rFonts w:ascii="Times New Roman" w:hAnsi="Times New Roman" w:cs="Times New Roman"/>
          <w:noProof/>
        </w:rPr>
        <w:drawing>
          <wp:inline distT="0" distB="0" distL="114300" distR="114300">
            <wp:extent cx="5583555" cy="2439035"/>
            <wp:effectExtent l="0" t="0" r="9525" b="1460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35"/>
                    <a:stretch>
                      <a:fillRect/>
                    </a:stretch>
                  </pic:blipFill>
                  <pic:spPr>
                    <a:xfrm>
                      <a:off x="0" y="0"/>
                      <a:ext cx="5583555" cy="2439035"/>
                    </a:xfrm>
                    <a:prstGeom prst="rect">
                      <a:avLst/>
                    </a:prstGeom>
                    <a:noFill/>
                    <a:ln>
                      <a:noFill/>
                    </a:ln>
                  </pic:spPr>
                </pic:pic>
              </a:graphicData>
            </a:graphic>
          </wp:inline>
        </w:drawing>
      </w:r>
    </w:p>
    <w:p w14:paraId="2A15D900" w14:textId="77777777" w:rsidR="00593680" w:rsidRDefault="00AF4AB4">
      <w:pPr>
        <w:pStyle w:val="a3"/>
        <w:rPr>
          <w:b w:val="0"/>
          <w:lang w:val="en-US"/>
        </w:rPr>
      </w:pPr>
      <w:bookmarkStart w:id="12" w:name="_Ref7112"/>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7</w:t>
      </w:r>
      <w:r>
        <w:rPr>
          <w:b w:val="0"/>
          <w:lang w:val="en-US"/>
        </w:rPr>
        <w:fldChar w:fldCharType="end"/>
      </w:r>
      <w:bookmarkEnd w:id="12"/>
      <w:r>
        <w:rPr>
          <w:b w:val="0"/>
          <w:lang w:val="en-US"/>
        </w:rPr>
        <w:t xml:space="preserve"> TA error caused by UE position inaccuracy of a random walking UE</w:t>
      </w:r>
    </w:p>
    <w:p w14:paraId="233299C9"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color w:val="000000" w:themeColor="text1"/>
          <w:sz w:val="20"/>
          <w:szCs w:val="20"/>
        </w:rPr>
      </w:pPr>
      <w:r>
        <w:rPr>
          <w:rFonts w:ascii="Times New Roman" w:eastAsia="宋体" w:hAnsi="Times New Roman" w:cs="Times New Roman"/>
          <w:bCs/>
          <w:iCs/>
          <w:color w:val="000000" w:themeColor="text1"/>
          <w:sz w:val="20"/>
          <w:szCs w:val="20"/>
        </w:rPr>
        <w:t xml:space="preserve">Although the closed loop TA </w:t>
      </w:r>
      <w:r>
        <w:rPr>
          <w:rFonts w:ascii="Times New Roman" w:eastAsia="宋体" w:hAnsi="Times New Roman" w:cs="Times New Roman"/>
          <w:color w:val="000000" w:themeColor="text1"/>
          <w:sz w:val="20"/>
          <w:szCs w:val="20"/>
        </w:rPr>
        <w:t>mechanism may compensate the GNSS position error to some extent by constantly adjusting</w:t>
      </w:r>
      <w:r>
        <w:rPr>
          <w:rFonts w:ascii="Times New Roman" w:eastAsia="宋体" w:hAnsi="Times New Roman" w:cs="Times New Roman"/>
          <w:color w:val="000000" w:themeColor="text1"/>
          <w:position w:val="-10"/>
          <w:sz w:val="20"/>
          <w:szCs w:val="20"/>
        </w:rPr>
        <w:object w:dxaOrig="421" w:dyaOrig="343" w14:anchorId="20932536">
          <v:shape id="_x0000_i1032" type="#_x0000_t75" style="width:21.05pt;height:17.15pt" o:ole="">
            <v:imagedata r:id="rId36" o:title=""/>
          </v:shape>
          <o:OLEObject Type="Embed" ProgID="Equation.KSEE3" ShapeID="_x0000_i1032" DrawAspect="Content" ObjectID="_1689768994" r:id="rId37"/>
        </w:object>
      </w:r>
      <w:r>
        <w:rPr>
          <w:rFonts w:ascii="Times New Roman" w:eastAsia="宋体" w:hAnsi="Times New Roman" w:cs="Times New Roman"/>
          <w:color w:val="000000" w:themeColor="text1"/>
          <w:sz w:val="20"/>
          <w:szCs w:val="20"/>
        </w:rPr>
        <w:t>, it is better to perform extra GNSS position fix when the RRC connected state lasts really long. The GNSS position fix can be performed during</w:t>
      </w:r>
      <w:r>
        <w:rPr>
          <w:rFonts w:ascii="Times New Roman" w:eastAsia="宋体" w:hAnsi="Times New Roman" w:cs="Times New Roman"/>
          <w:color w:val="000000" w:themeColor="text1"/>
          <w:sz w:val="20"/>
          <w:szCs w:val="20"/>
        </w:rPr>
        <w:t xml:space="preserve"> the connected mode DRX/eDRX state. If the connected mode DRX/eDRX state is configured less than 2000ms, which may not be long enough for a GNSS position fix, a new gap in connected mode should be configured for GNSS position fix.</w:t>
      </w:r>
    </w:p>
    <w:p w14:paraId="5AA45EDA"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strike/>
          <w:color w:val="000000" w:themeColor="text1"/>
          <w:sz w:val="20"/>
          <w:szCs w:val="20"/>
        </w:rPr>
      </w:pPr>
      <w:r>
        <w:rPr>
          <w:rFonts w:ascii="Times New Roman" w:eastAsia="宋体" w:hAnsi="Times New Roman" w:cs="Times New Roman"/>
          <w:b/>
          <w:i/>
          <w:color w:val="000000" w:themeColor="text1"/>
          <w:sz w:val="20"/>
          <w:szCs w:val="20"/>
        </w:rPr>
        <w:t xml:space="preserve">Proposal 6: </w:t>
      </w:r>
      <w:r>
        <w:rPr>
          <w:rFonts w:ascii="Times New Roman" w:eastAsia="宋体" w:hAnsi="Times New Roman" w:cs="Times New Roman"/>
          <w:bCs/>
          <w:i/>
          <w:color w:val="000000" w:themeColor="text1"/>
          <w:sz w:val="20"/>
          <w:szCs w:val="20"/>
        </w:rPr>
        <w:t>Gaps for GNSS</w:t>
      </w:r>
      <w:r>
        <w:rPr>
          <w:rFonts w:ascii="Times New Roman" w:eastAsia="宋体" w:hAnsi="Times New Roman" w:cs="Times New Roman"/>
          <w:bCs/>
          <w:i/>
          <w:color w:val="000000" w:themeColor="text1"/>
          <w:sz w:val="20"/>
          <w:szCs w:val="20"/>
        </w:rPr>
        <w:t xml:space="preserve"> position fix should be supported in RRC connected mode for long transmission.</w:t>
      </w:r>
    </w:p>
    <w:p w14:paraId="6ED7BBD1" w14:textId="77777777" w:rsidR="00593680" w:rsidRDefault="00AF4AB4">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the typical IoT case, the UL transmission of a UE mainly consists of periodic and aperiodic UL transmission, e.g., periodic UL report and PUSCH triggered by PDCCH or PRACH. I</w:t>
      </w:r>
      <w:r>
        <w:rPr>
          <w:rFonts w:ascii="Times New Roman" w:eastAsia="宋体" w:hAnsi="Times New Roman" w:cs="Times New Roman"/>
          <w:sz w:val="20"/>
          <w:szCs w:val="20"/>
        </w:rPr>
        <w:t xml:space="preserve">n aperiodic UL transmission, the UE doesn’t know whether a UL transmission is needed after wake up. In order to save power, a UE should perform GNSS only when needed, i.e., when the UL signal transmission is initiated after waking up as illustrated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w:instrText>
      </w:r>
      <w:r>
        <w:rPr>
          <w:rFonts w:ascii="Times New Roman" w:eastAsia="宋体" w:hAnsi="Times New Roman" w:cs="Times New Roman"/>
          <w:sz w:val="20"/>
          <w:szCs w:val="20"/>
        </w:rPr>
        <w:instrText xml:space="preserve"> _Ref68105666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8</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14:paraId="654D2CF8" w14:textId="77777777" w:rsidR="00593680" w:rsidRDefault="00AF4AB4">
      <w:pPr>
        <w:keepNext/>
        <w:ind w:leftChars="200" w:left="440"/>
        <w:jc w:val="center"/>
        <w:rPr>
          <w:rFonts w:ascii="Times New Roman" w:hAnsi="Times New Roman" w:cs="Times New Roman"/>
        </w:rPr>
      </w:pPr>
      <w:r>
        <w:rPr>
          <w:rFonts w:ascii="Times New Roman" w:hAnsi="Times New Roman" w:cs="Times New Roman"/>
          <w:noProof/>
        </w:rPr>
        <w:drawing>
          <wp:inline distT="0" distB="0" distL="114300" distR="114300">
            <wp:extent cx="4305300" cy="139319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8"/>
                    <a:stretch>
                      <a:fillRect/>
                    </a:stretch>
                  </pic:blipFill>
                  <pic:spPr>
                    <a:xfrm>
                      <a:off x="0" y="0"/>
                      <a:ext cx="4314131" cy="1396391"/>
                    </a:xfrm>
                    <a:prstGeom prst="rect">
                      <a:avLst/>
                    </a:prstGeom>
                    <a:noFill/>
                    <a:ln>
                      <a:noFill/>
                    </a:ln>
                  </pic:spPr>
                </pic:pic>
              </a:graphicData>
            </a:graphic>
          </wp:inline>
        </w:drawing>
      </w:r>
    </w:p>
    <w:p w14:paraId="5CC32399" w14:textId="77777777" w:rsidR="00593680" w:rsidRDefault="00AF4AB4">
      <w:pPr>
        <w:pStyle w:val="a3"/>
        <w:rPr>
          <w:b w:val="0"/>
        </w:rPr>
      </w:pPr>
      <w:bookmarkStart w:id="13"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8</w:t>
      </w:r>
      <w:r>
        <w:rPr>
          <w:b w:val="0"/>
        </w:rPr>
        <w:fldChar w:fldCharType="end"/>
      </w:r>
      <w:bookmarkEnd w:id="13"/>
      <w:r>
        <w:rPr>
          <w:b w:val="0"/>
        </w:rPr>
        <w:t xml:space="preserve"> Illustration on </w:t>
      </w:r>
      <w:r>
        <w:rPr>
          <w:b w:val="0"/>
          <w:bCs w:val="0"/>
          <w:lang w:val="en-US"/>
        </w:rPr>
        <w:t>Time gap for GNSS measurement.</w:t>
      </w:r>
    </w:p>
    <w:p w14:paraId="453987F0" w14:textId="77777777" w:rsidR="00593680" w:rsidRDefault="00AF4AB4">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lastRenderedPageBreak/>
        <w:t>If</w:t>
      </w:r>
      <w:r>
        <w:rPr>
          <w:rFonts w:ascii="Times New Roman" w:eastAsia="宋体" w:hAnsi="Times New Roman" w:cs="Times New Roman"/>
          <w:sz w:val="20"/>
          <w:szCs w:val="20"/>
        </w:rPr>
        <w:t xml:space="preserve"> the UL transmission is triggered by PDCCH, the UE cannot predict when the UL transmission happens before the reception of PDCCH. So the GNSS positioning can only happen after the PDCCH and before the PUSCH, and the additional gap between the PDCCH and pos</w:t>
      </w:r>
      <w:r>
        <w:rPr>
          <w:rFonts w:ascii="Times New Roman" w:eastAsia="宋体" w:hAnsi="Times New Roman" w:cs="Times New Roman"/>
          <w:sz w:val="20"/>
          <w:szCs w:val="20"/>
        </w:rPr>
        <w:t xml:space="preserve">sible triggered UL transmission may be needed for synchronization including GNSS measurement. </w:t>
      </w:r>
    </w:p>
    <w:p w14:paraId="4B20D67B" w14:textId="77777777" w:rsidR="00593680" w:rsidRDefault="00AF4AB4">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If the time interval between two aperiodic UL transmission has a considerable probability to be smaller than the validation time of GNSS positioning, the signall</w:t>
      </w:r>
      <w:r>
        <w:rPr>
          <w:rFonts w:ascii="Times New Roman" w:eastAsia="宋体" w:hAnsi="Times New Roman" w:cs="Times New Roman"/>
          <w:sz w:val="20"/>
          <w:szCs w:val="20"/>
        </w:rPr>
        <w:t xml:space="preserve">ing can be further optimized for power saving. </w:t>
      </w:r>
    </w:p>
    <w:p w14:paraId="45D113C9" w14:textId="77777777" w:rsidR="00593680" w:rsidRDefault="00AF4AB4">
      <w:pPr>
        <w:ind w:leftChars="200" w:left="440"/>
        <w:jc w:val="both"/>
        <w:rPr>
          <w:rFonts w:ascii="Times New Roman" w:eastAsia="宋体" w:hAnsi="Times New Roman" w:cs="Times New Roman"/>
          <w:sz w:val="20"/>
          <w:szCs w:val="20"/>
        </w:rPr>
      </w:pPr>
      <w:r>
        <w:rPr>
          <w:rFonts w:ascii="Times New Roman" w:hAnsi="Times New Roman" w:cs="Times New Roman"/>
          <w:b/>
          <w:i/>
          <w:sz w:val="20"/>
          <w:szCs w:val="20"/>
        </w:rPr>
        <w:t xml:space="preserve">Proposal 7: </w:t>
      </w:r>
      <w:r>
        <w:rPr>
          <w:rFonts w:ascii="Times New Roman" w:hAnsi="Times New Roman" w:cs="Times New Roman"/>
          <w:i/>
          <w:sz w:val="20"/>
          <w:szCs w:val="20"/>
        </w:rPr>
        <w:t xml:space="preserve">The UE’s behavior for GNSS information acquisition should be explicitly specified at least </w:t>
      </w:r>
      <w:r>
        <w:rPr>
          <w:rFonts w:ascii="Times New Roman" w:hAnsi="Times New Roman" w:cs="Times New Roman"/>
          <w:bCs/>
          <w:i/>
          <w:sz w:val="20"/>
          <w:szCs w:val="20"/>
        </w:rPr>
        <w:t>before initiating UL transmission after the eDRX/PSM.</w:t>
      </w:r>
    </w:p>
    <w:p w14:paraId="00F0DD77" w14:textId="77777777" w:rsidR="00593680" w:rsidRDefault="00AF4AB4">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the validity timer for assistance inf</w:t>
      </w:r>
      <w:r>
        <w:rPr>
          <w:rFonts w:ascii="Times New Roman" w:eastAsia="黑体" w:hAnsi="Times New Roman" w:cs="Times New Roman"/>
          <w:b/>
          <w:bCs/>
          <w:sz w:val="24"/>
          <w:szCs w:val="28"/>
          <w:lang w:val="en-US"/>
        </w:rPr>
        <w:t>ormation</w:t>
      </w:r>
    </w:p>
    <w:p w14:paraId="336CD0BC" w14:textId="77777777" w:rsidR="00593680" w:rsidRDefault="00AF4AB4">
      <w:p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Similar to NR-NTN, broadcasting of assistance information, e.g., common TA parameters and ephemeris data, is required from BS to enable the UL pre-compensation in IoT-NTN system, e.g., via SIB. In NB-IoT system, the UE is tolerable to the longer a</w:t>
      </w:r>
      <w:r>
        <w:rPr>
          <w:rFonts w:ascii="Times New Roman" w:eastAsia="宋体" w:hAnsi="Times New Roman" w:cs="Times New Roman"/>
          <w:sz w:val="20"/>
          <w:szCs w:val="20"/>
        </w:rPr>
        <w:t xml:space="preserve">ccess delay and larger SIB period comparing to NR system. Therefore, it’s reasonable to update the assistance information per SIB transmission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_Ref18729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9</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Moreover, </w:t>
      </w:r>
      <w:r>
        <w:rPr>
          <w:rFonts w:ascii="Times New Roman" w:eastAsia="宋体" w:hAnsi="Times New Roman" w:cs="Times New Roman"/>
          <w:sz w:val="20"/>
          <w:szCs w:val="20"/>
        </w:rPr>
        <w:t xml:space="preserve">the valid time should also be delivered to show in which time the indicated assistance information is accurate enough, which avoids incorrect pre-compensation based on outdated information when UE missed or failed to decode the latest SIB. </w:t>
      </w:r>
    </w:p>
    <w:p w14:paraId="7090801B" w14:textId="552BC695" w:rsidR="00593680" w:rsidRDefault="00AF4AB4">
      <w:pPr>
        <w:spacing w:after="120"/>
        <w:ind w:leftChars="200" w:left="440"/>
        <w:jc w:val="center"/>
        <w:rPr>
          <w:rFonts w:ascii="Times New Roman" w:eastAsia="宋体" w:hAnsi="Times New Roman" w:cs="Times New Roman"/>
          <w:sz w:val="20"/>
          <w:szCs w:val="20"/>
        </w:rPr>
      </w:pPr>
      <w:r>
        <w:rPr>
          <w:rStyle w:val="ac"/>
          <w:rFonts w:ascii="Times New Roman" w:hAnsi="Times New Roman" w:cs="Times New Roman"/>
          <w:noProof/>
        </w:rPr>
        <w:drawing>
          <wp:inline distT="0" distB="0" distL="114300" distR="114300">
            <wp:extent cx="5307330" cy="1419860"/>
            <wp:effectExtent l="0" t="0" r="7620" b="8890"/>
            <wp:docPr id="2" name="图片 2" descr="valid time-i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valid time-iot"/>
                    <pic:cNvPicPr>
                      <a:picLocks noChangeAspect="1"/>
                    </pic:cNvPicPr>
                  </pic:nvPicPr>
                  <pic:blipFill>
                    <a:blip r:embed="rId39"/>
                    <a:stretch>
                      <a:fillRect/>
                    </a:stretch>
                  </pic:blipFill>
                  <pic:spPr>
                    <a:xfrm>
                      <a:off x="0" y="0"/>
                      <a:ext cx="5307330" cy="1419860"/>
                    </a:xfrm>
                    <a:prstGeom prst="rect">
                      <a:avLst/>
                    </a:prstGeom>
                  </pic:spPr>
                </pic:pic>
              </a:graphicData>
            </a:graphic>
          </wp:inline>
        </w:drawing>
      </w:r>
    </w:p>
    <w:p w14:paraId="728F7FE8" w14:textId="77777777" w:rsidR="00593680" w:rsidRDefault="00AF4AB4">
      <w:pPr>
        <w:pStyle w:val="a3"/>
        <w:rPr>
          <w:lang w:val="en-US"/>
        </w:rPr>
      </w:pPr>
      <w:bookmarkStart w:id="14" w:name="_Ref18729"/>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9</w:t>
      </w:r>
      <w:r>
        <w:rPr>
          <w:b w:val="0"/>
          <w:lang w:val="en-US"/>
        </w:rPr>
        <w:fldChar w:fldCharType="end"/>
      </w:r>
      <w:bookmarkEnd w:id="14"/>
      <w:r>
        <w:rPr>
          <w:b w:val="0"/>
          <w:lang w:val="en-US"/>
        </w:rPr>
        <w:t xml:space="preserve"> Illustration of indication of assistance information</w:t>
      </w:r>
    </w:p>
    <w:p w14:paraId="062AE5B0" w14:textId="77777777" w:rsidR="00593680" w:rsidRDefault="00AF4AB4">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Proposal 8:</w:t>
      </w:r>
      <w:r>
        <w:rPr>
          <w:rFonts w:ascii="Times New Roman" w:hAnsi="Times New Roman" w:cs="Times New Roman"/>
          <w:i/>
          <w:sz w:val="20"/>
          <w:szCs w:val="20"/>
        </w:rPr>
        <w:t xml:space="preserve"> Indication of valid time f</w:t>
      </w:r>
      <w:r>
        <w:rPr>
          <w:rFonts w:ascii="Times New Roman" w:eastAsia="宋体" w:hAnsi="Times New Roman" w:cs="Times New Roman"/>
          <w:i/>
          <w:sz w:val="20"/>
          <w:szCs w:val="20"/>
        </w:rPr>
        <w:t>or assistance information broadcast from BS, e.g., ephemeris data, should be supported</w:t>
      </w:r>
      <w:r>
        <w:rPr>
          <w:rFonts w:ascii="Times New Roman" w:eastAsia="宋体" w:hAnsi="Times New Roman" w:cs="Times New Roman"/>
          <w:i/>
          <w:iCs/>
          <w:sz w:val="20"/>
          <w:szCs w:val="20"/>
        </w:rPr>
        <w:t>.</w:t>
      </w:r>
    </w:p>
    <w:p w14:paraId="36BA54E6" w14:textId="77777777" w:rsidR="00593680" w:rsidRDefault="00AF4AB4">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order to deliver the full set information of va</w:t>
      </w:r>
      <w:r>
        <w:rPr>
          <w:rFonts w:ascii="Times New Roman" w:eastAsia="宋体" w:hAnsi="Times New Roman" w:cs="Times New Roman"/>
          <w:sz w:val="20"/>
          <w:szCs w:val="20"/>
        </w:rPr>
        <w:t>lid time without ambiguity at UE side, the activation time instant and valid time length should be indicated to UE. To save signaling, the activation time instant can be considered indicated in an implicit way. More specifically, the activation time instan</w:t>
      </w:r>
      <w:r>
        <w:rPr>
          <w:rFonts w:ascii="Times New Roman" w:eastAsia="宋体" w:hAnsi="Times New Roman" w:cs="Times New Roman"/>
          <w:sz w:val="20"/>
          <w:szCs w:val="20"/>
        </w:rPr>
        <w:t xml:space="preserve">t is implicitly known as a reference time linked to DL subframe where the SIB carrying the assistance information is broadcast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_Ref18729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9</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As for</w:t>
      </w:r>
      <w:r>
        <w:rPr>
          <w:rFonts w:ascii="Times New Roman" w:eastAsia="宋体" w:hAnsi="Times New Roman" w:cs="Times New Roman"/>
          <w:sz w:val="20"/>
          <w:szCs w:val="20"/>
        </w:rPr>
        <w:t xml:space="preserve"> valid time length, it can be broadcast together with the corresponding assistance information. Since the accuracy of valid time length is not needed to be very accurate, a coarse signaling granularity can be considered to reduce signaling overhead, e.g., </w:t>
      </w:r>
      <w:r>
        <w:rPr>
          <w:rFonts w:ascii="Times New Roman" w:eastAsia="宋体" w:hAnsi="Times New Roman" w:cs="Times New Roman"/>
          <w:sz w:val="20"/>
          <w:szCs w:val="20"/>
        </w:rPr>
        <w:t>a subframe or a SIB period.</w:t>
      </w:r>
    </w:p>
    <w:p w14:paraId="2557CBBB" w14:textId="77777777" w:rsidR="00593680" w:rsidRDefault="00AF4AB4">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b/>
          <w:i/>
          <w:sz w:val="20"/>
          <w:szCs w:val="20"/>
        </w:rPr>
        <w:t>Proposal 9:</w:t>
      </w:r>
      <w:r>
        <w:rPr>
          <w:rFonts w:ascii="Times New Roman" w:hAnsi="Times New Roman" w:cs="Times New Roman"/>
          <w:i/>
          <w:sz w:val="20"/>
          <w:szCs w:val="20"/>
        </w:rPr>
        <w:t xml:space="preserve"> </w:t>
      </w:r>
      <w:r>
        <w:rPr>
          <w:rFonts w:ascii="Times New Roman" w:eastAsia="宋体" w:hAnsi="Times New Roman" w:cs="Times New Roman"/>
          <w:i/>
          <w:sz w:val="20"/>
          <w:szCs w:val="20"/>
        </w:rPr>
        <w:t>The activation time instant of assistance information can be implicitly known as a reference time linked to DL subframe where the SIB carrying the assistance information is broadcast</w:t>
      </w:r>
      <w:r>
        <w:rPr>
          <w:rFonts w:ascii="Times New Roman" w:eastAsia="宋体" w:hAnsi="Times New Roman" w:cs="Times New Roman"/>
          <w:i/>
          <w:iCs/>
          <w:sz w:val="20"/>
          <w:szCs w:val="20"/>
        </w:rPr>
        <w:t>.</w:t>
      </w:r>
    </w:p>
    <w:p w14:paraId="342F860C"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The valid time </w:t>
      </w:r>
      <w:r>
        <w:rPr>
          <w:rFonts w:ascii="Times New Roman" w:eastAsia="宋体" w:hAnsi="Times New Roman" w:cs="Times New Roman"/>
          <w:i/>
          <w:sz w:val="20"/>
          <w:szCs w:val="20"/>
        </w:rPr>
        <w:t>length can be broadcast along with assistance information. A coarse signaling granularity can be applied, e.g., a SIB period.</w:t>
      </w:r>
    </w:p>
    <w:p w14:paraId="1E364E48" w14:textId="77777777" w:rsidR="00593680" w:rsidRDefault="00AF4AB4">
      <w:p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Meanwhile, based on the indicated valid time, a validity timer should also be defined at UE side for the assistance information to</w:t>
      </w:r>
      <w:r>
        <w:rPr>
          <w:rFonts w:ascii="Times New Roman" w:eastAsia="宋体" w:hAnsi="Times New Roman" w:cs="Times New Roman"/>
          <w:sz w:val="20"/>
          <w:szCs w:val="20"/>
        </w:rPr>
        <w:t xml:space="preserve"> control UE behavior. The timer should be started/restarted once a new set of assistance information is activated and the duration should be set according to indicated valid time. When the validity timer is running, the indicated assistance information can</w:t>
      </w:r>
      <w:r>
        <w:rPr>
          <w:rFonts w:ascii="Times New Roman" w:eastAsia="宋体" w:hAnsi="Times New Roman" w:cs="Times New Roman"/>
          <w:sz w:val="20"/>
          <w:szCs w:val="20"/>
        </w:rPr>
        <w:t xml:space="preserve"> ensure the corresponding part of pre-compensation is accurate enough. Upon the expiry of the timer, the synchronization is thought lost and UE will re-access the network.</w:t>
      </w:r>
    </w:p>
    <w:p w14:paraId="2465E46B" w14:textId="77777777" w:rsidR="00593680" w:rsidRDefault="00AF4AB4">
      <w:p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lastRenderedPageBreak/>
        <w:t>Furthermore, different from NR-NTN, UE does not expect to read SIB in connected mode</w:t>
      </w:r>
      <w:r>
        <w:rPr>
          <w:rFonts w:ascii="Times New Roman" w:eastAsia="宋体" w:hAnsi="Times New Roman" w:cs="Times New Roman"/>
          <w:sz w:val="20"/>
          <w:szCs w:val="20"/>
        </w:rPr>
        <w:t xml:space="preserve"> in IoT-NTN. That is, the assistance information cannot be update by decoding SIB in connected mode. In order to avoid possible synchronization loss, UE can postpone the access to network if the residual duration of validity timer of current assistance inf</w:t>
      </w:r>
      <w:r>
        <w:rPr>
          <w:rFonts w:ascii="Times New Roman" w:eastAsia="宋体" w:hAnsi="Times New Roman" w:cs="Times New Roman"/>
          <w:sz w:val="20"/>
          <w:szCs w:val="20"/>
        </w:rPr>
        <w:t>ormation is shorter than the time duration of following UL transmission until new assistance information is activated.</w:t>
      </w:r>
    </w:p>
    <w:p w14:paraId="73F8A28D"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Proposal 11:</w:t>
      </w:r>
      <w:r>
        <w:rPr>
          <w:rFonts w:ascii="Times New Roman" w:hAnsi="Times New Roman" w:cs="Times New Roman"/>
          <w:i/>
          <w:sz w:val="20"/>
          <w:szCs w:val="20"/>
        </w:rPr>
        <w:t xml:space="preserve"> </w:t>
      </w:r>
      <w:r>
        <w:rPr>
          <w:rFonts w:ascii="Times New Roman" w:eastAsia="宋体" w:hAnsi="Times New Roman" w:cs="Times New Roman"/>
          <w:i/>
          <w:sz w:val="20"/>
          <w:szCs w:val="20"/>
        </w:rPr>
        <w:t>A validity timer should be supported for assistance information, and the followings are applied at UE side</w:t>
      </w:r>
    </w:p>
    <w:p w14:paraId="2480F894" w14:textId="77777777" w:rsidR="00593680" w:rsidRDefault="00AF4AB4">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The validity time</w:t>
      </w:r>
      <w:r>
        <w:rPr>
          <w:rFonts w:ascii="Times New Roman" w:eastAsia="宋体" w:hAnsi="Times New Roman" w:cs="Times New Roman"/>
          <w:i/>
          <w:iCs/>
          <w:sz w:val="20"/>
          <w:szCs w:val="20"/>
        </w:rPr>
        <w:t>r is started/restarted once new assistance information is activated.</w:t>
      </w:r>
    </w:p>
    <w:p w14:paraId="02CD1B43" w14:textId="77777777" w:rsidR="00593680" w:rsidRDefault="00AF4AB4">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The time duration of validity timer is set according to indicated valid time from BS.</w:t>
      </w:r>
    </w:p>
    <w:p w14:paraId="119B967C" w14:textId="77777777" w:rsidR="00593680" w:rsidRDefault="00AF4AB4">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Upon expiry of the validity timer, the synchronization is thought lost and UE will re-access the netw</w:t>
      </w:r>
      <w:r>
        <w:rPr>
          <w:rFonts w:ascii="Times New Roman" w:eastAsia="宋体" w:hAnsi="Times New Roman" w:cs="Times New Roman"/>
          <w:i/>
          <w:iCs/>
          <w:sz w:val="20"/>
          <w:szCs w:val="20"/>
        </w:rPr>
        <w:t>ork.</w:t>
      </w:r>
    </w:p>
    <w:p w14:paraId="18E8CEEB" w14:textId="77777777" w:rsidR="00593680" w:rsidRDefault="00AF4AB4">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If the residual duration of validity timer is shorter than the time duration of following UL transmission, UE will postpone the access to network until new assistance information is activated.</w:t>
      </w:r>
    </w:p>
    <w:p w14:paraId="3656DCDF" w14:textId="77777777" w:rsidR="00593680" w:rsidRDefault="00AF4AB4">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Conclusions</w:t>
      </w:r>
    </w:p>
    <w:p w14:paraId="3D642623"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w:t>
      </w:r>
      <w:r>
        <w:rPr>
          <w:rFonts w:ascii="Times New Roman" w:eastAsia="宋体" w:hAnsi="Times New Roman" w:cs="Times New Roman"/>
          <w:sz w:val="20"/>
          <w:szCs w:val="20"/>
        </w:rPr>
        <w:t xml:space="preserve"> synchronization related issues for NTN is conducted with following proposals and observations:</w:t>
      </w:r>
    </w:p>
    <w:p w14:paraId="4617DF5C" w14:textId="77777777" w:rsidR="00593680" w:rsidRDefault="00AF4AB4">
      <w:pPr>
        <w:ind w:leftChars="200" w:left="440"/>
        <w:rPr>
          <w:rFonts w:ascii="Times New Roman" w:hAnsi="Times New Roman" w:cs="Times New Roman"/>
          <w:b/>
          <w:i/>
          <w:sz w:val="20"/>
          <w:szCs w:val="20"/>
        </w:rPr>
      </w:pPr>
      <w:r>
        <w:rPr>
          <w:rFonts w:ascii="Times New Roman" w:hAnsi="Times New Roman" w:cs="Times New Roman"/>
          <w:b/>
          <w:i/>
          <w:sz w:val="20"/>
          <w:szCs w:val="20"/>
        </w:rPr>
        <w:t>Observation 1:</w:t>
      </w:r>
      <w:r>
        <w:rPr>
          <w:rFonts w:ascii="Times New Roman" w:hAnsi="Times New Roman" w:cs="Times New Roman"/>
          <w:bCs/>
          <w:i/>
          <w:sz w:val="20"/>
          <w:szCs w:val="20"/>
        </w:rPr>
        <w:t xml:space="preserve"> Increasing the channel raster up to 200 kHz is sufficient to provide robust performance for DL synchronization.</w:t>
      </w:r>
      <w:r>
        <w:rPr>
          <w:rFonts w:ascii="Times New Roman" w:hAnsi="Times New Roman" w:cs="Times New Roman"/>
          <w:b/>
          <w:i/>
          <w:sz w:val="20"/>
          <w:szCs w:val="20"/>
        </w:rPr>
        <w:t xml:space="preserve"> </w:t>
      </w:r>
    </w:p>
    <w:p w14:paraId="54E2364F" w14:textId="77777777" w:rsidR="00587444" w:rsidRDefault="00587444" w:rsidP="00587444">
      <w:pPr>
        <w:adjustRightInd w:val="0"/>
        <w:snapToGrid w:val="0"/>
        <w:spacing w:beforeLines="50" w:before="120" w:afterLines="50" w:after="120" w:line="260" w:lineRule="auto"/>
        <w:ind w:leftChars="200" w:left="440"/>
        <w:rPr>
          <w:rFonts w:ascii="Times New Roman" w:hAnsi="Times New Roman" w:cs="Times New Roman"/>
          <w:i/>
          <w:sz w:val="20"/>
          <w:szCs w:val="20"/>
        </w:rPr>
      </w:pPr>
      <w:r>
        <w:rPr>
          <w:rFonts w:ascii="Times New Roman" w:hAnsi="Times New Roman" w:cs="Times New Roman"/>
          <w:b/>
          <w:i/>
          <w:sz w:val="20"/>
          <w:szCs w:val="20"/>
        </w:rPr>
        <w:t xml:space="preserve">Observation 2: </w:t>
      </w:r>
      <w:r>
        <w:rPr>
          <w:rFonts w:ascii="Times New Roman" w:hAnsi="Times New Roman" w:cs="Times New Roman"/>
          <w:i/>
          <w:sz w:val="20"/>
          <w:szCs w:val="20"/>
        </w:rPr>
        <w:t>The PAPR increment due to phase discontinuity in segmented pre-compensation is acceptable even if no further enhancement is introduced.</w:t>
      </w:r>
    </w:p>
    <w:p w14:paraId="59898FE9" w14:textId="77777777" w:rsidR="002C3A0F" w:rsidRDefault="002C3A0F" w:rsidP="002C3A0F">
      <w:pPr>
        <w:ind w:left="420"/>
        <w:rPr>
          <w:rFonts w:ascii="Times New Roman" w:eastAsia="宋体" w:hAnsi="Times New Roman" w:cs="Times New Roman"/>
          <w:sz w:val="20"/>
          <w:szCs w:val="20"/>
        </w:rPr>
      </w:pPr>
      <w:r>
        <w:rPr>
          <w:rFonts w:ascii="Times New Roman" w:hAnsi="Times New Roman" w:cs="Times New Roman"/>
          <w:b/>
          <w:i/>
          <w:sz w:val="20"/>
          <w:szCs w:val="20"/>
        </w:rPr>
        <w:t xml:space="preserve">Observation 3: </w:t>
      </w:r>
      <w:r>
        <w:rPr>
          <w:rFonts w:ascii="Times New Roman" w:hAnsi="Times New Roman" w:cs="Times New Roman"/>
          <w:i/>
          <w:sz w:val="20"/>
          <w:szCs w:val="20"/>
        </w:rPr>
        <w:t>Further improvement on the PAPR with proper configuration of segment length can be achieved.</w:t>
      </w:r>
    </w:p>
    <w:p w14:paraId="7359B2DC" w14:textId="2755E232" w:rsidR="00593680" w:rsidRDefault="00AF4AB4">
      <w:pPr>
        <w:adjustRightInd w:val="0"/>
        <w:snapToGrid w:val="0"/>
        <w:spacing w:beforeLines="50" w:before="120" w:afterLines="50" w:after="120" w:line="260" w:lineRule="auto"/>
        <w:ind w:leftChars="200" w:left="440"/>
        <w:rPr>
          <w:rFonts w:ascii="Times New Roman" w:hAnsi="Times New Roman" w:cs="Times New Roman"/>
          <w:b/>
          <w:i/>
          <w:sz w:val="20"/>
          <w:szCs w:val="20"/>
        </w:rPr>
      </w:pPr>
      <w:r>
        <w:rPr>
          <w:rFonts w:ascii="Times New Roman" w:hAnsi="Times New Roman" w:cs="Times New Roman"/>
          <w:b/>
          <w:i/>
          <w:sz w:val="20"/>
          <w:szCs w:val="20"/>
        </w:rPr>
        <w:t xml:space="preserve">Observation </w:t>
      </w:r>
      <w:r w:rsidR="002C3A0F">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hAnsi="Times New Roman" w:cs="Times New Roman"/>
          <w:i/>
          <w:sz w:val="20"/>
          <w:szCs w:val="20"/>
        </w:rPr>
        <w:t xml:space="preserve"> Additional complexity on the UE is needed to achieve the UE implementation with sampling rate adjustment in device.</w:t>
      </w:r>
    </w:p>
    <w:p w14:paraId="532F98E8" w14:textId="77777777" w:rsidR="00593680" w:rsidRDefault="00AF4AB4">
      <w:pPr>
        <w:spacing w:beforeLines="50" w:before="120" w:line="240" w:lineRule="auto"/>
        <w:ind w:leftChars="200" w:left="440"/>
        <w:jc w:val="both"/>
        <w:rPr>
          <w:rFonts w:ascii="Times New Roman" w:eastAsia="宋体" w:hAnsi="Times New Roman" w:cs="Times New Roman"/>
          <w:sz w:val="20"/>
          <w:szCs w:val="20"/>
        </w:rPr>
      </w:pPr>
      <w:r>
        <w:rPr>
          <w:rFonts w:ascii="Times New Roman" w:hAnsi="Times New Roman" w:cs="Times New Roman"/>
          <w:b/>
          <w:i/>
          <w:sz w:val="20"/>
          <w:szCs w:val="20"/>
        </w:rPr>
        <w:t>Proposal</w:t>
      </w:r>
      <w:r>
        <w:rPr>
          <w:rFonts w:ascii="Times New Roman" w:hAnsi="Times New Roman" w:cs="Times New Roman"/>
          <w:b/>
          <w:i/>
          <w:sz w:val="20"/>
          <w:szCs w:val="20"/>
        </w:rPr>
        <w:t xml:space="preserve"> 1:</w:t>
      </w:r>
      <w:r>
        <w:rPr>
          <w:rFonts w:ascii="Times New Roman" w:hAnsi="Times New Roman" w:cs="Times New Roman"/>
          <w:bCs/>
          <w:i/>
          <w:sz w:val="20"/>
          <w:szCs w:val="20"/>
        </w:rPr>
        <w:t xml:space="preserve"> Increasing the channel raster is preferred for DL synchronization.</w:t>
      </w:r>
      <w:r>
        <w:rPr>
          <w:rFonts w:ascii="Times New Roman" w:hAnsi="Times New Roman" w:cs="Times New Roman"/>
          <w:b/>
          <w:i/>
          <w:sz w:val="20"/>
          <w:szCs w:val="20"/>
        </w:rPr>
        <w:t xml:space="preserve"> </w:t>
      </w:r>
    </w:p>
    <w:p w14:paraId="6409E734" w14:textId="77777777" w:rsidR="00593680" w:rsidRDefault="00AF4AB4">
      <w:pPr>
        <w:ind w:leftChars="200" w:left="44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2: </w:t>
      </w:r>
      <w:r>
        <w:rPr>
          <w:rFonts w:ascii="Times New Roman" w:hAnsi="Times New Roman" w:cs="Times New Roman"/>
          <w:i/>
          <w:sz w:val="20"/>
          <w:szCs w:val="20"/>
        </w:rPr>
        <w:t xml:space="preserve">The configurable segment length should be supported to enable the </w:t>
      </w:r>
      <w:r>
        <w:rPr>
          <w:rFonts w:ascii="Times New Roman" w:eastAsia="宋体" w:hAnsi="Times New Roman" w:cs="Times New Roman"/>
          <w:i/>
          <w:sz w:val="20"/>
          <w:szCs w:val="20"/>
        </w:rPr>
        <w:t>segmented UL pre-compensation with applying one TA value per segment.</w:t>
      </w:r>
    </w:p>
    <w:p w14:paraId="6AF79772" w14:textId="77777777" w:rsidR="00593680" w:rsidRDefault="00AF4AB4">
      <w:pPr>
        <w:ind w:leftChars="200" w:left="44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3: </w:t>
      </w:r>
      <w:r>
        <w:rPr>
          <w:rFonts w:ascii="Times New Roman" w:eastAsia="宋体" w:hAnsi="Times New Roman" w:cs="Times New Roman"/>
          <w:i/>
          <w:sz w:val="20"/>
          <w:szCs w:val="20"/>
        </w:rPr>
        <w:t>The time unit of segment</w:t>
      </w:r>
      <w:r>
        <w:rPr>
          <w:rFonts w:ascii="Times New Roman" w:eastAsia="宋体" w:hAnsi="Times New Roman" w:cs="Times New Roman"/>
          <w:i/>
          <w:sz w:val="20"/>
          <w:szCs w:val="20"/>
        </w:rPr>
        <w:t>ed pre-compensation should be slot for PUSCH and random access symbol group for PRACH.</w:t>
      </w:r>
    </w:p>
    <w:p w14:paraId="3779DD49"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Proposal 4:</w:t>
      </w:r>
      <w:r>
        <w:rPr>
          <w:rFonts w:ascii="Times New Roman" w:hAnsi="Times New Roman" w:cs="Times New Roman"/>
          <w:i/>
          <w:sz w:val="20"/>
          <w:szCs w:val="20"/>
        </w:rPr>
        <w:t xml:space="preserve"> If the phase discontinuity is needed to be handled, new UL gaps is preferred.</w:t>
      </w:r>
    </w:p>
    <w:p w14:paraId="592B1083"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hAnsi="Times New Roman" w:cs="Times New Roman"/>
          <w:b/>
          <w:i/>
          <w:sz w:val="20"/>
          <w:szCs w:val="20"/>
        </w:rPr>
        <w:t>Proposal 5:</w:t>
      </w:r>
      <w:r>
        <w:rPr>
          <w:rFonts w:ascii="Times New Roman" w:hAnsi="Times New Roman" w:cs="Times New Roman"/>
          <w:i/>
          <w:sz w:val="20"/>
          <w:szCs w:val="20"/>
        </w:rPr>
        <w:t xml:space="preserve"> No extra enhancement for closed loop TA maintenance mechanism is ne</w:t>
      </w:r>
      <w:r>
        <w:rPr>
          <w:rFonts w:ascii="Times New Roman" w:hAnsi="Times New Roman" w:cs="Times New Roman"/>
          <w:i/>
          <w:sz w:val="20"/>
          <w:szCs w:val="20"/>
        </w:rPr>
        <w:t>eded in long connection.</w:t>
      </w:r>
    </w:p>
    <w:p w14:paraId="64254702" w14:textId="77777777" w:rsidR="00593680" w:rsidRDefault="00AF4AB4">
      <w:pPr>
        <w:pStyle w:val="ad"/>
        <w:spacing w:beforeLines="50" w:before="120" w:afterLines="50" w:after="120" w:line="240" w:lineRule="auto"/>
        <w:ind w:leftChars="200" w:left="440" w:firstLineChars="0" w:firstLine="0"/>
        <w:jc w:val="both"/>
        <w:rPr>
          <w:rFonts w:ascii="Times New Roman" w:eastAsia="宋体" w:hAnsi="Times New Roman" w:cs="Times New Roman"/>
          <w:strike/>
          <w:color w:val="000000" w:themeColor="text1"/>
          <w:sz w:val="20"/>
          <w:szCs w:val="20"/>
        </w:rPr>
      </w:pPr>
      <w:r>
        <w:rPr>
          <w:rFonts w:ascii="Times New Roman" w:eastAsia="宋体" w:hAnsi="Times New Roman" w:cs="Times New Roman"/>
          <w:b/>
          <w:i/>
          <w:color w:val="000000" w:themeColor="text1"/>
          <w:sz w:val="20"/>
          <w:szCs w:val="20"/>
        </w:rPr>
        <w:t xml:space="preserve">Proposal 6: </w:t>
      </w:r>
      <w:r>
        <w:rPr>
          <w:rFonts w:ascii="Times New Roman" w:eastAsia="宋体" w:hAnsi="Times New Roman" w:cs="Times New Roman"/>
          <w:bCs/>
          <w:i/>
          <w:color w:val="000000" w:themeColor="text1"/>
          <w:sz w:val="20"/>
          <w:szCs w:val="20"/>
        </w:rPr>
        <w:t>Gaps for GNSS position fix should be supported in RRC connected mode for long transmission.</w:t>
      </w:r>
    </w:p>
    <w:p w14:paraId="0521F444" w14:textId="77777777" w:rsidR="00593680" w:rsidRDefault="00AF4AB4">
      <w:pPr>
        <w:ind w:leftChars="200" w:left="440"/>
        <w:jc w:val="both"/>
        <w:rPr>
          <w:rFonts w:ascii="Times New Roman" w:hAnsi="Times New Roman" w:cs="Times New Roman"/>
          <w:bCs/>
          <w:i/>
          <w:sz w:val="20"/>
          <w:szCs w:val="20"/>
        </w:rPr>
      </w:pPr>
      <w:r>
        <w:rPr>
          <w:rFonts w:ascii="Times New Roman" w:hAnsi="Times New Roman" w:cs="Times New Roman"/>
          <w:b/>
          <w:i/>
          <w:sz w:val="20"/>
          <w:szCs w:val="20"/>
        </w:rPr>
        <w:t xml:space="preserve">Proposal 7: </w:t>
      </w:r>
      <w:r>
        <w:rPr>
          <w:rFonts w:ascii="Times New Roman" w:hAnsi="Times New Roman" w:cs="Times New Roman"/>
          <w:i/>
          <w:sz w:val="20"/>
          <w:szCs w:val="20"/>
        </w:rPr>
        <w:t xml:space="preserve">The UE’s behavior for GNSS information acquisition should be explicitly specified at least </w:t>
      </w:r>
      <w:r>
        <w:rPr>
          <w:rFonts w:ascii="Times New Roman" w:hAnsi="Times New Roman" w:cs="Times New Roman"/>
          <w:bCs/>
          <w:i/>
          <w:sz w:val="20"/>
          <w:szCs w:val="20"/>
        </w:rPr>
        <w:t xml:space="preserve">before initiating UL </w:t>
      </w:r>
      <w:r>
        <w:rPr>
          <w:rFonts w:ascii="Times New Roman" w:hAnsi="Times New Roman" w:cs="Times New Roman"/>
          <w:bCs/>
          <w:i/>
          <w:sz w:val="20"/>
          <w:szCs w:val="20"/>
        </w:rPr>
        <w:t>transmission after the eDRX/PSM.</w:t>
      </w:r>
    </w:p>
    <w:p w14:paraId="02A494B2" w14:textId="77777777" w:rsidR="00593680" w:rsidRDefault="00AF4AB4">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b/>
          <w:i/>
          <w:sz w:val="20"/>
          <w:szCs w:val="20"/>
        </w:rPr>
        <w:t>Proposal 8:</w:t>
      </w:r>
      <w:r>
        <w:rPr>
          <w:rFonts w:ascii="Times New Roman" w:hAnsi="Times New Roman" w:cs="Times New Roman"/>
          <w:i/>
          <w:sz w:val="20"/>
          <w:szCs w:val="20"/>
        </w:rPr>
        <w:t xml:space="preserve"> Indication of valid time f</w:t>
      </w:r>
      <w:r>
        <w:rPr>
          <w:rFonts w:ascii="Times New Roman" w:eastAsia="宋体" w:hAnsi="Times New Roman" w:cs="Times New Roman"/>
          <w:i/>
          <w:sz w:val="20"/>
          <w:szCs w:val="20"/>
        </w:rPr>
        <w:t>or assistance information broadcast from BS, e.g., ephemeris data, should be supported</w:t>
      </w:r>
      <w:r>
        <w:rPr>
          <w:rFonts w:ascii="Times New Roman" w:eastAsia="宋体" w:hAnsi="Times New Roman" w:cs="Times New Roman"/>
          <w:i/>
          <w:iCs/>
          <w:sz w:val="20"/>
          <w:szCs w:val="20"/>
        </w:rPr>
        <w:t>.</w:t>
      </w:r>
    </w:p>
    <w:p w14:paraId="7EE928C8" w14:textId="77777777" w:rsidR="00593680" w:rsidRDefault="00AF4AB4">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b/>
          <w:i/>
          <w:sz w:val="20"/>
          <w:szCs w:val="20"/>
        </w:rPr>
        <w:t>Proposal 9:</w:t>
      </w:r>
      <w:r>
        <w:rPr>
          <w:rFonts w:ascii="Times New Roman" w:hAnsi="Times New Roman" w:cs="Times New Roman"/>
          <w:i/>
          <w:sz w:val="20"/>
          <w:szCs w:val="20"/>
        </w:rPr>
        <w:t xml:space="preserve"> </w:t>
      </w:r>
      <w:r>
        <w:rPr>
          <w:rFonts w:ascii="Times New Roman" w:eastAsia="宋体" w:hAnsi="Times New Roman" w:cs="Times New Roman"/>
          <w:i/>
          <w:sz w:val="20"/>
          <w:szCs w:val="20"/>
        </w:rPr>
        <w:t>The activation time instant of assistance information can be implicitly known as a re</w:t>
      </w:r>
      <w:r>
        <w:rPr>
          <w:rFonts w:ascii="Times New Roman" w:eastAsia="宋体" w:hAnsi="Times New Roman" w:cs="Times New Roman"/>
          <w:i/>
          <w:sz w:val="20"/>
          <w:szCs w:val="20"/>
        </w:rPr>
        <w:t>ference time linked to DL subframe where the SIB carrying the assistance information is broadcast</w:t>
      </w:r>
      <w:r>
        <w:rPr>
          <w:rFonts w:ascii="Times New Roman" w:eastAsia="宋体" w:hAnsi="Times New Roman" w:cs="Times New Roman"/>
          <w:i/>
          <w:iCs/>
          <w:sz w:val="20"/>
          <w:szCs w:val="20"/>
        </w:rPr>
        <w:t>.</w:t>
      </w:r>
    </w:p>
    <w:p w14:paraId="51CE82BC"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r>
        <w:rPr>
          <w:rFonts w:ascii="Times New Roman" w:eastAsia="宋体" w:hAnsi="Times New Roman" w:cs="Times New Roman"/>
          <w:i/>
          <w:sz w:val="20"/>
          <w:szCs w:val="20"/>
        </w:rPr>
        <w:t>The valid time length can be broadcast along with assistance information. A coarse signaling granularity can be applied, e.g., a SIB period.</w:t>
      </w:r>
    </w:p>
    <w:p w14:paraId="7A7A3D6F" w14:textId="77777777" w:rsidR="00593680" w:rsidRDefault="00AF4AB4">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b/>
          <w:i/>
          <w:sz w:val="20"/>
          <w:szCs w:val="20"/>
        </w:rPr>
        <w:t>Proposal 11:</w:t>
      </w:r>
      <w:r>
        <w:rPr>
          <w:rFonts w:ascii="Times New Roman" w:hAnsi="Times New Roman" w:cs="Times New Roman"/>
          <w:i/>
          <w:sz w:val="20"/>
          <w:szCs w:val="20"/>
        </w:rPr>
        <w:t xml:space="preserve"> </w:t>
      </w:r>
      <w:r>
        <w:rPr>
          <w:rFonts w:ascii="Times New Roman" w:eastAsia="宋体" w:hAnsi="Times New Roman" w:cs="Times New Roman"/>
          <w:i/>
          <w:sz w:val="20"/>
          <w:szCs w:val="20"/>
        </w:rPr>
        <w:t>A validity timer should be supported for assistance information, and the followings apply for UE</w:t>
      </w:r>
    </w:p>
    <w:p w14:paraId="3E93D50B" w14:textId="77777777" w:rsidR="00593680" w:rsidRDefault="00AF4AB4">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lastRenderedPageBreak/>
        <w:t>The validity timer is started/restarted once new assistance information is activated.</w:t>
      </w:r>
    </w:p>
    <w:p w14:paraId="4860DB71" w14:textId="77777777" w:rsidR="00593680" w:rsidRDefault="00AF4AB4">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The time duration of validity timer is set according to indi</w:t>
      </w:r>
      <w:r>
        <w:rPr>
          <w:rFonts w:ascii="Times New Roman" w:eastAsia="宋体" w:hAnsi="Times New Roman" w:cs="Times New Roman"/>
          <w:i/>
          <w:iCs/>
          <w:sz w:val="20"/>
          <w:szCs w:val="20"/>
        </w:rPr>
        <w:t>cated valid time from BS.</w:t>
      </w:r>
    </w:p>
    <w:p w14:paraId="46CF4CBA" w14:textId="77777777" w:rsidR="00593680" w:rsidRDefault="00AF4AB4">
      <w:pPr>
        <w:numPr>
          <w:ilvl w:val="0"/>
          <w:numId w:val="10"/>
        </w:numPr>
        <w:spacing w:after="120"/>
        <w:rPr>
          <w:rFonts w:ascii="Times New Roman" w:eastAsia="宋体" w:hAnsi="Times New Roman" w:cs="Times New Roman"/>
          <w:i/>
          <w:iCs/>
          <w:sz w:val="20"/>
          <w:szCs w:val="20"/>
        </w:rPr>
      </w:pPr>
      <w:r>
        <w:rPr>
          <w:rFonts w:ascii="Times New Roman" w:eastAsia="宋体" w:hAnsi="Times New Roman" w:cs="Times New Roman"/>
          <w:i/>
          <w:iCs/>
          <w:sz w:val="20"/>
          <w:szCs w:val="20"/>
        </w:rPr>
        <w:t>Upon expiry of the validity timer, the synchronization is thought lost and UE will re-access the network.</w:t>
      </w:r>
    </w:p>
    <w:p w14:paraId="19BF4AC6" w14:textId="77777777" w:rsidR="00593680" w:rsidRDefault="00AF4AB4">
      <w:pPr>
        <w:numPr>
          <w:ilvl w:val="0"/>
          <w:numId w:val="10"/>
        </w:numPr>
        <w:spacing w:after="120" w:line="240" w:lineRule="auto"/>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If the residual duration of validity timer is shorter than the time duration of following UL transmission, UE will postpone </w:t>
      </w:r>
      <w:r>
        <w:rPr>
          <w:rFonts w:ascii="Times New Roman" w:eastAsia="宋体" w:hAnsi="Times New Roman" w:cs="Times New Roman"/>
          <w:i/>
          <w:iCs/>
          <w:sz w:val="20"/>
          <w:szCs w:val="20"/>
        </w:rPr>
        <w:t>the access to network until new assistance information is activated.</w:t>
      </w:r>
    </w:p>
    <w:p w14:paraId="5AA4412E" w14:textId="77777777" w:rsidR="00593680" w:rsidRDefault="00AF4AB4">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Reference</w:t>
      </w:r>
    </w:p>
    <w:p w14:paraId="6A6564D7" w14:textId="77777777" w:rsidR="00593680" w:rsidRDefault="00AF4AB4">
      <w:pPr>
        <w:pStyle w:val="ListParagraph1"/>
        <w:numPr>
          <w:ilvl w:val="0"/>
          <w:numId w:val="11"/>
        </w:numPr>
        <w:spacing w:after="0" w:line="240" w:lineRule="auto"/>
        <w:ind w:left="505" w:hanging="505"/>
        <w:rPr>
          <w:rFonts w:ascii="Times New Roman" w:hAnsi="Times New Roman" w:cs="Times New Roman"/>
          <w:sz w:val="20"/>
          <w:szCs w:val="20"/>
        </w:rPr>
      </w:pPr>
      <w:bookmarkStart w:id="15" w:name="_Ref3756"/>
      <w:bookmarkStart w:id="16" w:name="_Ref24565"/>
      <w:bookmarkStart w:id="17" w:name="_Ref30861"/>
      <w:bookmarkStart w:id="18" w:name="_Ref10026"/>
      <w:bookmarkStart w:id="19" w:name="_Ref12729"/>
      <w:r>
        <w:rPr>
          <w:rFonts w:ascii="Times New Roman" w:hAnsi="Times New Roman" w:cs="Times New Roman"/>
          <w:sz w:val="20"/>
          <w:szCs w:val="20"/>
        </w:rPr>
        <w:t>RP-211601, WID on NB-IoT/eMTC support for NTN</w:t>
      </w:r>
      <w:bookmarkEnd w:id="15"/>
    </w:p>
    <w:p w14:paraId="4EDA71DC" w14:textId="77777777" w:rsidR="00593680" w:rsidRDefault="00AF4AB4">
      <w:pPr>
        <w:pStyle w:val="ListParagraph1"/>
        <w:numPr>
          <w:ilvl w:val="0"/>
          <w:numId w:val="11"/>
        </w:numPr>
        <w:spacing w:after="0" w:line="240" w:lineRule="auto"/>
        <w:ind w:left="505" w:hanging="505"/>
        <w:rPr>
          <w:rFonts w:ascii="Times New Roman" w:hAnsi="Times New Roman" w:cs="Times New Roman"/>
          <w:sz w:val="20"/>
          <w:szCs w:val="20"/>
        </w:rPr>
      </w:pPr>
      <w:bookmarkStart w:id="20" w:name="_Ref32385"/>
      <w:r>
        <w:rPr>
          <w:rFonts w:ascii="Times New Roman" w:hAnsi="Times New Roman" w:cs="Times New Roman"/>
          <w:sz w:val="20"/>
          <w:szCs w:val="20"/>
        </w:rPr>
        <w:t xml:space="preserve">3GPP TR 36.763 v1.0.0: “Study on Narrow-Band Internet of Things (NB-IoT) / enhanced Machine Type Communication (eMTC) support for </w:t>
      </w:r>
      <w:r>
        <w:rPr>
          <w:rFonts w:ascii="Times New Roman" w:hAnsi="Times New Roman" w:cs="Times New Roman"/>
          <w:sz w:val="20"/>
          <w:szCs w:val="20"/>
        </w:rPr>
        <w:t>Non-Terrestrial Networks (NTN) (Release 17)”</w:t>
      </w:r>
      <w:bookmarkEnd w:id="20"/>
    </w:p>
    <w:p w14:paraId="2D4ED206" w14:textId="77777777" w:rsidR="00593680" w:rsidRDefault="00AF4AB4">
      <w:pPr>
        <w:pStyle w:val="ListParagraph1"/>
        <w:numPr>
          <w:ilvl w:val="0"/>
          <w:numId w:val="11"/>
        </w:numPr>
        <w:spacing w:after="0" w:line="240" w:lineRule="auto"/>
        <w:ind w:left="505" w:hanging="505"/>
        <w:rPr>
          <w:rFonts w:ascii="Times New Roman" w:hAnsi="Times New Roman" w:cs="Times New Roman"/>
          <w:sz w:val="20"/>
          <w:szCs w:val="20"/>
        </w:rPr>
      </w:pPr>
      <w:bookmarkStart w:id="21" w:name="_Ref3789"/>
      <w:bookmarkEnd w:id="16"/>
      <w:bookmarkEnd w:id="17"/>
      <w:r>
        <w:rPr>
          <w:rFonts w:ascii="Times New Roman" w:hAnsi="Times New Roman" w:cs="Times New Roman"/>
          <w:sz w:val="20"/>
          <w:szCs w:val="20"/>
        </w:rPr>
        <w:t xml:space="preserve">R1-2106289, </w:t>
      </w:r>
      <w:r>
        <w:rPr>
          <w:rFonts w:ascii="Times New Roman" w:hAnsi="Times New Roman" w:cs="Times New Roman"/>
          <w:sz w:val="20"/>
          <w:szCs w:val="20"/>
        </w:rPr>
        <w:tab/>
        <w:t>Summary #4 of AI 8.15.2</w:t>
      </w:r>
      <w:r>
        <w:rPr>
          <w:rFonts w:ascii="Times New Roman" w:hAnsi="Times New Roman" w:cs="Times New Roman"/>
          <w:sz w:val="20"/>
          <w:szCs w:val="20"/>
        </w:rPr>
        <w:tab/>
        <w:t>Enhancements to time and frequency synchronization</w:t>
      </w:r>
      <w:bookmarkEnd w:id="21"/>
    </w:p>
    <w:p w14:paraId="43DC067F" w14:textId="77777777" w:rsidR="00593680" w:rsidRDefault="00AF4AB4">
      <w:pPr>
        <w:pStyle w:val="ListParagraph1"/>
        <w:numPr>
          <w:ilvl w:val="0"/>
          <w:numId w:val="11"/>
        </w:numPr>
        <w:spacing w:after="0" w:line="240" w:lineRule="auto"/>
        <w:ind w:left="505" w:hanging="505"/>
        <w:rPr>
          <w:rFonts w:ascii="Times New Roman" w:hAnsi="Times New Roman" w:cs="Times New Roman"/>
          <w:sz w:val="20"/>
          <w:szCs w:val="20"/>
        </w:rPr>
      </w:pPr>
      <w:bookmarkStart w:id="22" w:name="_Ref24764"/>
      <w:r>
        <w:rPr>
          <w:rFonts w:ascii="Times New Roman" w:hAnsi="Times New Roman" w:cs="Times New Roman"/>
          <w:sz w:val="20"/>
          <w:szCs w:val="20"/>
        </w:rPr>
        <w:t>3GPP TR 38.821 v16.0.0: “Solutions for NR to support non-terrestrial networks (Release 16)”</w:t>
      </w:r>
      <w:bookmarkEnd w:id="22"/>
    </w:p>
    <w:p w14:paraId="6AF21990" w14:textId="77777777" w:rsidR="00593680" w:rsidRDefault="00AF4AB4">
      <w:pPr>
        <w:pStyle w:val="ListParagraph1"/>
        <w:numPr>
          <w:ilvl w:val="0"/>
          <w:numId w:val="11"/>
        </w:numPr>
        <w:spacing w:after="0" w:line="240" w:lineRule="auto"/>
        <w:ind w:left="505" w:hanging="505"/>
        <w:rPr>
          <w:rFonts w:ascii="Times New Roman" w:hAnsi="Times New Roman" w:cs="Times New Roman"/>
          <w:sz w:val="20"/>
          <w:szCs w:val="20"/>
        </w:rPr>
      </w:pPr>
      <w:bookmarkStart w:id="23" w:name="_Ref20393"/>
      <w:r>
        <w:rPr>
          <w:rFonts w:ascii="Times New Roman" w:hAnsi="Times New Roman" w:cs="Times New Roman"/>
          <w:sz w:val="20"/>
          <w:szCs w:val="20"/>
        </w:rPr>
        <w:t>3GPP TS 36.133 v16.5.0: “Requir</w:t>
      </w:r>
      <w:r>
        <w:rPr>
          <w:rFonts w:ascii="Times New Roman" w:hAnsi="Times New Roman" w:cs="Times New Roman"/>
          <w:sz w:val="20"/>
          <w:szCs w:val="20"/>
        </w:rPr>
        <w:t>ements for support of radio resource management (Release 16)”</w:t>
      </w:r>
      <w:bookmarkEnd w:id="18"/>
      <w:bookmarkEnd w:id="19"/>
      <w:bookmarkEnd w:id="23"/>
    </w:p>
    <w:sectPr w:rsidR="005936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E0F3F" w14:textId="77777777" w:rsidR="00AF4AB4" w:rsidRDefault="00AF4AB4" w:rsidP="00CA7468">
      <w:pPr>
        <w:spacing w:after="0" w:line="240" w:lineRule="auto"/>
      </w:pPr>
      <w:r>
        <w:separator/>
      </w:r>
    </w:p>
  </w:endnote>
  <w:endnote w:type="continuationSeparator" w:id="0">
    <w:p w14:paraId="0B5AC1D2" w14:textId="77777777" w:rsidR="00AF4AB4" w:rsidRDefault="00AF4AB4" w:rsidP="00CA7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0DE1C" w14:textId="77777777" w:rsidR="00AF4AB4" w:rsidRDefault="00AF4AB4" w:rsidP="00CA7468">
      <w:pPr>
        <w:spacing w:after="0" w:line="240" w:lineRule="auto"/>
      </w:pPr>
      <w:r>
        <w:separator/>
      </w:r>
    </w:p>
  </w:footnote>
  <w:footnote w:type="continuationSeparator" w:id="0">
    <w:p w14:paraId="62BBC229" w14:textId="77777777" w:rsidR="00AF4AB4" w:rsidRDefault="00AF4AB4" w:rsidP="00CA74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00D695"/>
    <w:multiLevelType w:val="singleLevel"/>
    <w:tmpl w:val="A000D695"/>
    <w:lvl w:ilvl="0">
      <w:start w:val="1"/>
      <w:numFmt w:val="lowerLetter"/>
      <w:suff w:val="space"/>
      <w:lvlText w:val="(%1)"/>
      <w:lvlJc w:val="left"/>
    </w:lvl>
  </w:abstractNum>
  <w:abstractNum w:abstractNumId="1"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FADFFDD"/>
    <w:multiLevelType w:val="singleLevel"/>
    <w:tmpl w:val="2FADFFDD"/>
    <w:lvl w:ilvl="0">
      <w:start w:val="1"/>
      <w:numFmt w:val="lowerLetter"/>
      <w:suff w:val="space"/>
      <w:lvlText w:val="(%1)"/>
      <w:lvlJc w:val="left"/>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F6A1FE0"/>
    <w:multiLevelType w:val="singleLevel"/>
    <w:tmpl w:val="3F6A1FE0"/>
    <w:lvl w:ilvl="0">
      <w:start w:val="1"/>
      <w:numFmt w:val="decimal"/>
      <w:lvlText w:val="(%1)"/>
      <w:lvlJc w:val="left"/>
      <w:pPr>
        <w:tabs>
          <w:tab w:val="left" w:pos="420"/>
        </w:tabs>
        <w:ind w:left="845" w:hanging="425"/>
      </w:pPr>
      <w:rPr>
        <w:rFonts w:hint="default"/>
      </w:r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5544FA"/>
    <w:multiLevelType w:val="singleLevel"/>
    <w:tmpl w:val="645544FA"/>
    <w:lvl w:ilvl="0">
      <w:start w:val="1"/>
      <w:numFmt w:val="lowerLetter"/>
      <w:suff w:val="space"/>
      <w:lvlText w:val="(%1)"/>
      <w:lvlJc w:val="left"/>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9"/>
  </w:num>
  <w:num w:numId="8">
    <w:abstractNumId w:val="3"/>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37B7"/>
    <w:rsid w:val="00004E88"/>
    <w:rsid w:val="00005B14"/>
    <w:rsid w:val="00010179"/>
    <w:rsid w:val="00015039"/>
    <w:rsid w:val="00015132"/>
    <w:rsid w:val="00021434"/>
    <w:rsid w:val="00021AAE"/>
    <w:rsid w:val="00022E51"/>
    <w:rsid w:val="0002404A"/>
    <w:rsid w:val="000255C7"/>
    <w:rsid w:val="00026E46"/>
    <w:rsid w:val="0003022F"/>
    <w:rsid w:val="000305EC"/>
    <w:rsid w:val="0003439E"/>
    <w:rsid w:val="000348BE"/>
    <w:rsid w:val="00036AFC"/>
    <w:rsid w:val="00042798"/>
    <w:rsid w:val="00043AF2"/>
    <w:rsid w:val="00044844"/>
    <w:rsid w:val="00044F8D"/>
    <w:rsid w:val="00046EC1"/>
    <w:rsid w:val="0005160B"/>
    <w:rsid w:val="00052ACC"/>
    <w:rsid w:val="00053670"/>
    <w:rsid w:val="00054B9E"/>
    <w:rsid w:val="0005556D"/>
    <w:rsid w:val="0005679C"/>
    <w:rsid w:val="000600A4"/>
    <w:rsid w:val="00062447"/>
    <w:rsid w:val="000630EA"/>
    <w:rsid w:val="0006445C"/>
    <w:rsid w:val="00064C14"/>
    <w:rsid w:val="00067072"/>
    <w:rsid w:val="000707AD"/>
    <w:rsid w:val="00076968"/>
    <w:rsid w:val="000771C3"/>
    <w:rsid w:val="00082E56"/>
    <w:rsid w:val="00082F9B"/>
    <w:rsid w:val="0008497C"/>
    <w:rsid w:val="00085425"/>
    <w:rsid w:val="0008799A"/>
    <w:rsid w:val="0009076A"/>
    <w:rsid w:val="0009189F"/>
    <w:rsid w:val="00091DB0"/>
    <w:rsid w:val="000929D3"/>
    <w:rsid w:val="00096412"/>
    <w:rsid w:val="00096975"/>
    <w:rsid w:val="00097080"/>
    <w:rsid w:val="00097C29"/>
    <w:rsid w:val="000A0C3E"/>
    <w:rsid w:val="000A2896"/>
    <w:rsid w:val="000A5D0C"/>
    <w:rsid w:val="000A6607"/>
    <w:rsid w:val="000A6F26"/>
    <w:rsid w:val="000B02D6"/>
    <w:rsid w:val="000B219E"/>
    <w:rsid w:val="000B512D"/>
    <w:rsid w:val="000B5C20"/>
    <w:rsid w:val="000B6824"/>
    <w:rsid w:val="000C0612"/>
    <w:rsid w:val="000C1421"/>
    <w:rsid w:val="000C1944"/>
    <w:rsid w:val="000C3A22"/>
    <w:rsid w:val="000C46C1"/>
    <w:rsid w:val="000C4C4D"/>
    <w:rsid w:val="000C5487"/>
    <w:rsid w:val="000C600C"/>
    <w:rsid w:val="000C6104"/>
    <w:rsid w:val="000C6CD2"/>
    <w:rsid w:val="000D2FFB"/>
    <w:rsid w:val="000D5861"/>
    <w:rsid w:val="000D598F"/>
    <w:rsid w:val="000E4EF8"/>
    <w:rsid w:val="000E50D3"/>
    <w:rsid w:val="000E6592"/>
    <w:rsid w:val="000E65C2"/>
    <w:rsid w:val="000E7075"/>
    <w:rsid w:val="000F150A"/>
    <w:rsid w:val="000F22A0"/>
    <w:rsid w:val="000F2DCC"/>
    <w:rsid w:val="000F4FB7"/>
    <w:rsid w:val="000F504F"/>
    <w:rsid w:val="000F58D7"/>
    <w:rsid w:val="000F7322"/>
    <w:rsid w:val="000F785C"/>
    <w:rsid w:val="000F7C37"/>
    <w:rsid w:val="00102955"/>
    <w:rsid w:val="001030E2"/>
    <w:rsid w:val="00103ADE"/>
    <w:rsid w:val="001042A2"/>
    <w:rsid w:val="001053A6"/>
    <w:rsid w:val="00112B3E"/>
    <w:rsid w:val="001140B1"/>
    <w:rsid w:val="001164E7"/>
    <w:rsid w:val="001175A0"/>
    <w:rsid w:val="0011771D"/>
    <w:rsid w:val="00117825"/>
    <w:rsid w:val="00120E8A"/>
    <w:rsid w:val="0012343B"/>
    <w:rsid w:val="00123A6A"/>
    <w:rsid w:val="00126EA0"/>
    <w:rsid w:val="00127950"/>
    <w:rsid w:val="0013220A"/>
    <w:rsid w:val="001366F7"/>
    <w:rsid w:val="001369F6"/>
    <w:rsid w:val="001401D1"/>
    <w:rsid w:val="00140AE4"/>
    <w:rsid w:val="0014136C"/>
    <w:rsid w:val="001424BF"/>
    <w:rsid w:val="0014315C"/>
    <w:rsid w:val="001455B4"/>
    <w:rsid w:val="00152655"/>
    <w:rsid w:val="00152B82"/>
    <w:rsid w:val="00152E17"/>
    <w:rsid w:val="00153DFD"/>
    <w:rsid w:val="00154CF2"/>
    <w:rsid w:val="00163958"/>
    <w:rsid w:val="00163E3A"/>
    <w:rsid w:val="001645E4"/>
    <w:rsid w:val="00164C6C"/>
    <w:rsid w:val="00166EF0"/>
    <w:rsid w:val="00170CD6"/>
    <w:rsid w:val="0017178D"/>
    <w:rsid w:val="00173D63"/>
    <w:rsid w:val="00174EE5"/>
    <w:rsid w:val="00176496"/>
    <w:rsid w:val="001767AB"/>
    <w:rsid w:val="00177052"/>
    <w:rsid w:val="0018367E"/>
    <w:rsid w:val="001922C9"/>
    <w:rsid w:val="0019297F"/>
    <w:rsid w:val="00194A42"/>
    <w:rsid w:val="00195F9D"/>
    <w:rsid w:val="001964C6"/>
    <w:rsid w:val="001A040E"/>
    <w:rsid w:val="001A2364"/>
    <w:rsid w:val="001A27EA"/>
    <w:rsid w:val="001A48C5"/>
    <w:rsid w:val="001A585E"/>
    <w:rsid w:val="001A74B5"/>
    <w:rsid w:val="001B0350"/>
    <w:rsid w:val="001B1525"/>
    <w:rsid w:val="001C1A3C"/>
    <w:rsid w:val="001C3113"/>
    <w:rsid w:val="001C34AE"/>
    <w:rsid w:val="001C53EA"/>
    <w:rsid w:val="001D3FCD"/>
    <w:rsid w:val="001D4C5A"/>
    <w:rsid w:val="001D5472"/>
    <w:rsid w:val="001D55B9"/>
    <w:rsid w:val="001D59E7"/>
    <w:rsid w:val="001D7DDA"/>
    <w:rsid w:val="001E0DE7"/>
    <w:rsid w:val="001E0EBF"/>
    <w:rsid w:val="001E130B"/>
    <w:rsid w:val="001E2099"/>
    <w:rsid w:val="001E27E0"/>
    <w:rsid w:val="001E670E"/>
    <w:rsid w:val="001F080B"/>
    <w:rsid w:val="001F42FD"/>
    <w:rsid w:val="001F532D"/>
    <w:rsid w:val="001F73F8"/>
    <w:rsid w:val="001F7998"/>
    <w:rsid w:val="001F7E2A"/>
    <w:rsid w:val="00203368"/>
    <w:rsid w:val="00204E86"/>
    <w:rsid w:val="00206259"/>
    <w:rsid w:val="00211192"/>
    <w:rsid w:val="00212229"/>
    <w:rsid w:val="00215B4B"/>
    <w:rsid w:val="00215C0C"/>
    <w:rsid w:val="00220F13"/>
    <w:rsid w:val="0022192F"/>
    <w:rsid w:val="00222B41"/>
    <w:rsid w:val="002239D1"/>
    <w:rsid w:val="002239E2"/>
    <w:rsid w:val="002260BF"/>
    <w:rsid w:val="002277AA"/>
    <w:rsid w:val="00227B9F"/>
    <w:rsid w:val="00230E2F"/>
    <w:rsid w:val="002337F7"/>
    <w:rsid w:val="00234FE9"/>
    <w:rsid w:val="0024089A"/>
    <w:rsid w:val="00241E81"/>
    <w:rsid w:val="00242177"/>
    <w:rsid w:val="0024761D"/>
    <w:rsid w:val="002509D8"/>
    <w:rsid w:val="0025472B"/>
    <w:rsid w:val="00255D8E"/>
    <w:rsid w:val="00261495"/>
    <w:rsid w:val="002617C9"/>
    <w:rsid w:val="002628A3"/>
    <w:rsid w:val="002636DD"/>
    <w:rsid w:val="00263CF8"/>
    <w:rsid w:val="00266010"/>
    <w:rsid w:val="002662CE"/>
    <w:rsid w:val="00272F96"/>
    <w:rsid w:val="002743FF"/>
    <w:rsid w:val="002749B2"/>
    <w:rsid w:val="002804CA"/>
    <w:rsid w:val="00282B5B"/>
    <w:rsid w:val="002863A3"/>
    <w:rsid w:val="00286741"/>
    <w:rsid w:val="00286A1A"/>
    <w:rsid w:val="002901AB"/>
    <w:rsid w:val="00290518"/>
    <w:rsid w:val="002916FD"/>
    <w:rsid w:val="00291D82"/>
    <w:rsid w:val="002924F9"/>
    <w:rsid w:val="0029575D"/>
    <w:rsid w:val="0029679A"/>
    <w:rsid w:val="002A03BF"/>
    <w:rsid w:val="002A2584"/>
    <w:rsid w:val="002A40A7"/>
    <w:rsid w:val="002A431F"/>
    <w:rsid w:val="002A5D5E"/>
    <w:rsid w:val="002A5DBB"/>
    <w:rsid w:val="002A7E58"/>
    <w:rsid w:val="002B1AEC"/>
    <w:rsid w:val="002B1F61"/>
    <w:rsid w:val="002B2729"/>
    <w:rsid w:val="002B3F53"/>
    <w:rsid w:val="002B4341"/>
    <w:rsid w:val="002B5408"/>
    <w:rsid w:val="002B6229"/>
    <w:rsid w:val="002C1562"/>
    <w:rsid w:val="002C37D5"/>
    <w:rsid w:val="002C3A0F"/>
    <w:rsid w:val="002C3F9A"/>
    <w:rsid w:val="002C4016"/>
    <w:rsid w:val="002C56D4"/>
    <w:rsid w:val="002C5BB8"/>
    <w:rsid w:val="002C5C2D"/>
    <w:rsid w:val="002C636A"/>
    <w:rsid w:val="002C7437"/>
    <w:rsid w:val="002D235D"/>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45E7"/>
    <w:rsid w:val="002F65FD"/>
    <w:rsid w:val="002F67A2"/>
    <w:rsid w:val="002F67ED"/>
    <w:rsid w:val="002F7433"/>
    <w:rsid w:val="00300887"/>
    <w:rsid w:val="00300BD1"/>
    <w:rsid w:val="00301393"/>
    <w:rsid w:val="003014F6"/>
    <w:rsid w:val="00301C35"/>
    <w:rsid w:val="003020ED"/>
    <w:rsid w:val="0030330F"/>
    <w:rsid w:val="00303EF0"/>
    <w:rsid w:val="00304BDE"/>
    <w:rsid w:val="00305DE0"/>
    <w:rsid w:val="00305DE1"/>
    <w:rsid w:val="00313773"/>
    <w:rsid w:val="00313AD9"/>
    <w:rsid w:val="00313D16"/>
    <w:rsid w:val="00315C20"/>
    <w:rsid w:val="00317C7F"/>
    <w:rsid w:val="00320CAE"/>
    <w:rsid w:val="00321BA2"/>
    <w:rsid w:val="00331622"/>
    <w:rsid w:val="003317E3"/>
    <w:rsid w:val="0033281C"/>
    <w:rsid w:val="00332D42"/>
    <w:rsid w:val="00333D5B"/>
    <w:rsid w:val="00334734"/>
    <w:rsid w:val="00334DC2"/>
    <w:rsid w:val="00335EC6"/>
    <w:rsid w:val="003405B7"/>
    <w:rsid w:val="003409CF"/>
    <w:rsid w:val="00340F85"/>
    <w:rsid w:val="00343B5D"/>
    <w:rsid w:val="00344883"/>
    <w:rsid w:val="00345FE9"/>
    <w:rsid w:val="003503C4"/>
    <w:rsid w:val="00350FBC"/>
    <w:rsid w:val="00351908"/>
    <w:rsid w:val="0035204B"/>
    <w:rsid w:val="00352086"/>
    <w:rsid w:val="003529BD"/>
    <w:rsid w:val="003557F6"/>
    <w:rsid w:val="00356938"/>
    <w:rsid w:val="00361C0B"/>
    <w:rsid w:val="003634E2"/>
    <w:rsid w:val="00363A78"/>
    <w:rsid w:val="00363AC2"/>
    <w:rsid w:val="003643F8"/>
    <w:rsid w:val="00365946"/>
    <w:rsid w:val="00366F67"/>
    <w:rsid w:val="0037065F"/>
    <w:rsid w:val="0037266D"/>
    <w:rsid w:val="00375C1F"/>
    <w:rsid w:val="00381189"/>
    <w:rsid w:val="003813C9"/>
    <w:rsid w:val="00381E30"/>
    <w:rsid w:val="003821A4"/>
    <w:rsid w:val="00384A17"/>
    <w:rsid w:val="003851CA"/>
    <w:rsid w:val="0038541D"/>
    <w:rsid w:val="00387508"/>
    <w:rsid w:val="0039022E"/>
    <w:rsid w:val="0039116F"/>
    <w:rsid w:val="003911F4"/>
    <w:rsid w:val="00391906"/>
    <w:rsid w:val="0039193E"/>
    <w:rsid w:val="003933F1"/>
    <w:rsid w:val="003947C3"/>
    <w:rsid w:val="00395843"/>
    <w:rsid w:val="00395C77"/>
    <w:rsid w:val="00396782"/>
    <w:rsid w:val="00396A19"/>
    <w:rsid w:val="00396FEB"/>
    <w:rsid w:val="003A0AD5"/>
    <w:rsid w:val="003A0F24"/>
    <w:rsid w:val="003A11F6"/>
    <w:rsid w:val="003A1352"/>
    <w:rsid w:val="003A1EED"/>
    <w:rsid w:val="003A2742"/>
    <w:rsid w:val="003A2A26"/>
    <w:rsid w:val="003A2EE6"/>
    <w:rsid w:val="003A3310"/>
    <w:rsid w:val="003A420A"/>
    <w:rsid w:val="003A519F"/>
    <w:rsid w:val="003A5A4D"/>
    <w:rsid w:val="003B1113"/>
    <w:rsid w:val="003B1C09"/>
    <w:rsid w:val="003B30D0"/>
    <w:rsid w:val="003B3197"/>
    <w:rsid w:val="003B5BAE"/>
    <w:rsid w:val="003B6A62"/>
    <w:rsid w:val="003C193E"/>
    <w:rsid w:val="003C54CC"/>
    <w:rsid w:val="003C562C"/>
    <w:rsid w:val="003C65CF"/>
    <w:rsid w:val="003C6911"/>
    <w:rsid w:val="003D0C02"/>
    <w:rsid w:val="003D283B"/>
    <w:rsid w:val="003D471D"/>
    <w:rsid w:val="003D645F"/>
    <w:rsid w:val="003E10DC"/>
    <w:rsid w:val="003E21E9"/>
    <w:rsid w:val="003E239D"/>
    <w:rsid w:val="003E3CEC"/>
    <w:rsid w:val="003E44C7"/>
    <w:rsid w:val="003E4FCA"/>
    <w:rsid w:val="003E4FD3"/>
    <w:rsid w:val="003E6DDC"/>
    <w:rsid w:val="003E7E7B"/>
    <w:rsid w:val="003F097C"/>
    <w:rsid w:val="003F16AA"/>
    <w:rsid w:val="003F2293"/>
    <w:rsid w:val="003F7954"/>
    <w:rsid w:val="00402656"/>
    <w:rsid w:val="00405E9A"/>
    <w:rsid w:val="00406247"/>
    <w:rsid w:val="00407685"/>
    <w:rsid w:val="00407B1E"/>
    <w:rsid w:val="0041043C"/>
    <w:rsid w:val="00411214"/>
    <w:rsid w:val="00416785"/>
    <w:rsid w:val="0041746D"/>
    <w:rsid w:val="00417601"/>
    <w:rsid w:val="00417A84"/>
    <w:rsid w:val="00422186"/>
    <w:rsid w:val="0042521E"/>
    <w:rsid w:val="004252B8"/>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116A"/>
    <w:rsid w:val="00452D85"/>
    <w:rsid w:val="00453286"/>
    <w:rsid w:val="00453D6C"/>
    <w:rsid w:val="00456C5B"/>
    <w:rsid w:val="0045733E"/>
    <w:rsid w:val="004573FA"/>
    <w:rsid w:val="00457E4C"/>
    <w:rsid w:val="00463942"/>
    <w:rsid w:val="00464E35"/>
    <w:rsid w:val="004654BC"/>
    <w:rsid w:val="004654CB"/>
    <w:rsid w:val="004702C2"/>
    <w:rsid w:val="004729EF"/>
    <w:rsid w:val="004731FE"/>
    <w:rsid w:val="00475005"/>
    <w:rsid w:val="00477CFE"/>
    <w:rsid w:val="004810AC"/>
    <w:rsid w:val="0048145B"/>
    <w:rsid w:val="00481B43"/>
    <w:rsid w:val="0048347E"/>
    <w:rsid w:val="00484022"/>
    <w:rsid w:val="0048570C"/>
    <w:rsid w:val="00486487"/>
    <w:rsid w:val="0048653D"/>
    <w:rsid w:val="00487188"/>
    <w:rsid w:val="00490561"/>
    <w:rsid w:val="00492181"/>
    <w:rsid w:val="00492CAD"/>
    <w:rsid w:val="00493985"/>
    <w:rsid w:val="004945B1"/>
    <w:rsid w:val="00494A92"/>
    <w:rsid w:val="00495909"/>
    <w:rsid w:val="00495944"/>
    <w:rsid w:val="00495A57"/>
    <w:rsid w:val="004A15E7"/>
    <w:rsid w:val="004A5862"/>
    <w:rsid w:val="004A5C0E"/>
    <w:rsid w:val="004A6BE0"/>
    <w:rsid w:val="004B05AC"/>
    <w:rsid w:val="004B27B7"/>
    <w:rsid w:val="004B37BB"/>
    <w:rsid w:val="004B5C9A"/>
    <w:rsid w:val="004B6616"/>
    <w:rsid w:val="004C047C"/>
    <w:rsid w:val="004C1572"/>
    <w:rsid w:val="004C32AB"/>
    <w:rsid w:val="004C35CF"/>
    <w:rsid w:val="004D15F3"/>
    <w:rsid w:val="004D40AC"/>
    <w:rsid w:val="004D4385"/>
    <w:rsid w:val="004D578F"/>
    <w:rsid w:val="004D58FF"/>
    <w:rsid w:val="004D59E5"/>
    <w:rsid w:val="004D76CF"/>
    <w:rsid w:val="004E06CC"/>
    <w:rsid w:val="004E0E27"/>
    <w:rsid w:val="004E26D6"/>
    <w:rsid w:val="004E5051"/>
    <w:rsid w:val="004E5664"/>
    <w:rsid w:val="004E6534"/>
    <w:rsid w:val="004E6601"/>
    <w:rsid w:val="004E7C87"/>
    <w:rsid w:val="004F004C"/>
    <w:rsid w:val="004F09C8"/>
    <w:rsid w:val="004F3231"/>
    <w:rsid w:val="004F3689"/>
    <w:rsid w:val="004F47F5"/>
    <w:rsid w:val="004F7230"/>
    <w:rsid w:val="00500B0A"/>
    <w:rsid w:val="0050203F"/>
    <w:rsid w:val="00503202"/>
    <w:rsid w:val="00504167"/>
    <w:rsid w:val="0050481A"/>
    <w:rsid w:val="00514A5F"/>
    <w:rsid w:val="0051511D"/>
    <w:rsid w:val="0051721B"/>
    <w:rsid w:val="00520474"/>
    <w:rsid w:val="005245D8"/>
    <w:rsid w:val="00526A51"/>
    <w:rsid w:val="00526B50"/>
    <w:rsid w:val="00527981"/>
    <w:rsid w:val="00531476"/>
    <w:rsid w:val="00532BE2"/>
    <w:rsid w:val="005335E9"/>
    <w:rsid w:val="00533E6F"/>
    <w:rsid w:val="00536865"/>
    <w:rsid w:val="00541281"/>
    <w:rsid w:val="00541AC2"/>
    <w:rsid w:val="00541CF8"/>
    <w:rsid w:val="00541EDD"/>
    <w:rsid w:val="005420B8"/>
    <w:rsid w:val="005425D7"/>
    <w:rsid w:val="0054377D"/>
    <w:rsid w:val="005439BB"/>
    <w:rsid w:val="00544284"/>
    <w:rsid w:val="00546AA2"/>
    <w:rsid w:val="00547EED"/>
    <w:rsid w:val="0055515C"/>
    <w:rsid w:val="00555635"/>
    <w:rsid w:val="00557DF7"/>
    <w:rsid w:val="00560112"/>
    <w:rsid w:val="0056072D"/>
    <w:rsid w:val="00561353"/>
    <w:rsid w:val="005631E5"/>
    <w:rsid w:val="00572794"/>
    <w:rsid w:val="00575177"/>
    <w:rsid w:val="005776B3"/>
    <w:rsid w:val="00577B25"/>
    <w:rsid w:val="00577FA3"/>
    <w:rsid w:val="005800AE"/>
    <w:rsid w:val="005818F2"/>
    <w:rsid w:val="0058467B"/>
    <w:rsid w:val="005847B4"/>
    <w:rsid w:val="00587444"/>
    <w:rsid w:val="00587B31"/>
    <w:rsid w:val="00591A9A"/>
    <w:rsid w:val="00591AFC"/>
    <w:rsid w:val="00593006"/>
    <w:rsid w:val="00593680"/>
    <w:rsid w:val="00593D18"/>
    <w:rsid w:val="005942C9"/>
    <w:rsid w:val="00594C6B"/>
    <w:rsid w:val="005950DF"/>
    <w:rsid w:val="00595FF1"/>
    <w:rsid w:val="0059699B"/>
    <w:rsid w:val="00596B55"/>
    <w:rsid w:val="00596C89"/>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67B5"/>
    <w:rsid w:val="005C7591"/>
    <w:rsid w:val="005C7BD4"/>
    <w:rsid w:val="005D0FDD"/>
    <w:rsid w:val="005D13C0"/>
    <w:rsid w:val="005E4CFC"/>
    <w:rsid w:val="005E567C"/>
    <w:rsid w:val="005E5A35"/>
    <w:rsid w:val="005F347D"/>
    <w:rsid w:val="005F55CD"/>
    <w:rsid w:val="005F5FD1"/>
    <w:rsid w:val="005F6497"/>
    <w:rsid w:val="005F6A35"/>
    <w:rsid w:val="00600C3B"/>
    <w:rsid w:val="00604BE0"/>
    <w:rsid w:val="00604ED7"/>
    <w:rsid w:val="006051D6"/>
    <w:rsid w:val="00605C52"/>
    <w:rsid w:val="006069F4"/>
    <w:rsid w:val="00611BF1"/>
    <w:rsid w:val="0061579B"/>
    <w:rsid w:val="00615F56"/>
    <w:rsid w:val="0061689D"/>
    <w:rsid w:val="00617E3E"/>
    <w:rsid w:val="0062089C"/>
    <w:rsid w:val="006209D1"/>
    <w:rsid w:val="00620E03"/>
    <w:rsid w:val="00621317"/>
    <w:rsid w:val="006230D7"/>
    <w:rsid w:val="00623636"/>
    <w:rsid w:val="00625539"/>
    <w:rsid w:val="00631E9B"/>
    <w:rsid w:val="00632335"/>
    <w:rsid w:val="006336DA"/>
    <w:rsid w:val="00633ED2"/>
    <w:rsid w:val="0063465A"/>
    <w:rsid w:val="00634D66"/>
    <w:rsid w:val="0063523E"/>
    <w:rsid w:val="006361FB"/>
    <w:rsid w:val="00637AF1"/>
    <w:rsid w:val="006401AA"/>
    <w:rsid w:val="006424C6"/>
    <w:rsid w:val="00642581"/>
    <w:rsid w:val="0064336C"/>
    <w:rsid w:val="00645DB4"/>
    <w:rsid w:val="00646900"/>
    <w:rsid w:val="0065067B"/>
    <w:rsid w:val="006527BC"/>
    <w:rsid w:val="006535CC"/>
    <w:rsid w:val="00653D64"/>
    <w:rsid w:val="0065408D"/>
    <w:rsid w:val="00654C18"/>
    <w:rsid w:val="006555CE"/>
    <w:rsid w:val="0065614D"/>
    <w:rsid w:val="006570C0"/>
    <w:rsid w:val="00657778"/>
    <w:rsid w:val="006608EA"/>
    <w:rsid w:val="00661B5D"/>
    <w:rsid w:val="006626C7"/>
    <w:rsid w:val="00664290"/>
    <w:rsid w:val="006651B0"/>
    <w:rsid w:val="006652A5"/>
    <w:rsid w:val="0067386F"/>
    <w:rsid w:val="00673B49"/>
    <w:rsid w:val="00675B3E"/>
    <w:rsid w:val="00675E96"/>
    <w:rsid w:val="00676E47"/>
    <w:rsid w:val="0067706A"/>
    <w:rsid w:val="00680759"/>
    <w:rsid w:val="00681096"/>
    <w:rsid w:val="006813F8"/>
    <w:rsid w:val="00682298"/>
    <w:rsid w:val="0068392E"/>
    <w:rsid w:val="0068550A"/>
    <w:rsid w:val="0068710D"/>
    <w:rsid w:val="006925F2"/>
    <w:rsid w:val="006942DE"/>
    <w:rsid w:val="0069476D"/>
    <w:rsid w:val="00695773"/>
    <w:rsid w:val="006959F4"/>
    <w:rsid w:val="00695F4B"/>
    <w:rsid w:val="006A1066"/>
    <w:rsid w:val="006A2144"/>
    <w:rsid w:val="006A2675"/>
    <w:rsid w:val="006A5005"/>
    <w:rsid w:val="006A770B"/>
    <w:rsid w:val="006A78AB"/>
    <w:rsid w:val="006B11B9"/>
    <w:rsid w:val="006B2BFD"/>
    <w:rsid w:val="006B3E7B"/>
    <w:rsid w:val="006B44DE"/>
    <w:rsid w:val="006B68A9"/>
    <w:rsid w:val="006C5BED"/>
    <w:rsid w:val="006C63FA"/>
    <w:rsid w:val="006C7C94"/>
    <w:rsid w:val="006D02E7"/>
    <w:rsid w:val="006D267E"/>
    <w:rsid w:val="006D2F82"/>
    <w:rsid w:val="006D419D"/>
    <w:rsid w:val="006D471A"/>
    <w:rsid w:val="006D5130"/>
    <w:rsid w:val="006E1D35"/>
    <w:rsid w:val="006E492C"/>
    <w:rsid w:val="006E56D5"/>
    <w:rsid w:val="006E5A5A"/>
    <w:rsid w:val="006E77DD"/>
    <w:rsid w:val="006F05F7"/>
    <w:rsid w:val="006F2A5C"/>
    <w:rsid w:val="006F31E9"/>
    <w:rsid w:val="006F4431"/>
    <w:rsid w:val="006F72D5"/>
    <w:rsid w:val="006F72F6"/>
    <w:rsid w:val="00700656"/>
    <w:rsid w:val="00700CD1"/>
    <w:rsid w:val="007012CD"/>
    <w:rsid w:val="00702B90"/>
    <w:rsid w:val="0070447C"/>
    <w:rsid w:val="00710F36"/>
    <w:rsid w:val="00711028"/>
    <w:rsid w:val="00711762"/>
    <w:rsid w:val="00713CDF"/>
    <w:rsid w:val="0071444C"/>
    <w:rsid w:val="007153CF"/>
    <w:rsid w:val="0071629F"/>
    <w:rsid w:val="00716683"/>
    <w:rsid w:val="00720231"/>
    <w:rsid w:val="00720CE7"/>
    <w:rsid w:val="0072125E"/>
    <w:rsid w:val="00721DCF"/>
    <w:rsid w:val="0072286D"/>
    <w:rsid w:val="00724CFE"/>
    <w:rsid w:val="00724E82"/>
    <w:rsid w:val="0072584B"/>
    <w:rsid w:val="00727760"/>
    <w:rsid w:val="00727CFC"/>
    <w:rsid w:val="00730741"/>
    <w:rsid w:val="0073082B"/>
    <w:rsid w:val="00731300"/>
    <w:rsid w:val="00731989"/>
    <w:rsid w:val="00734513"/>
    <w:rsid w:val="00734A39"/>
    <w:rsid w:val="00736151"/>
    <w:rsid w:val="00737944"/>
    <w:rsid w:val="007408A7"/>
    <w:rsid w:val="0074167E"/>
    <w:rsid w:val="007453DB"/>
    <w:rsid w:val="00745D0B"/>
    <w:rsid w:val="00746683"/>
    <w:rsid w:val="00747EB3"/>
    <w:rsid w:val="007571BD"/>
    <w:rsid w:val="00762B16"/>
    <w:rsid w:val="00764DDF"/>
    <w:rsid w:val="00765D18"/>
    <w:rsid w:val="00766275"/>
    <w:rsid w:val="00766EC1"/>
    <w:rsid w:val="00770305"/>
    <w:rsid w:val="0077075F"/>
    <w:rsid w:val="00770B85"/>
    <w:rsid w:val="0077455A"/>
    <w:rsid w:val="00782A64"/>
    <w:rsid w:val="0078436A"/>
    <w:rsid w:val="0078446D"/>
    <w:rsid w:val="00786908"/>
    <w:rsid w:val="0078717C"/>
    <w:rsid w:val="007907A9"/>
    <w:rsid w:val="007918C5"/>
    <w:rsid w:val="00792482"/>
    <w:rsid w:val="007934C2"/>
    <w:rsid w:val="00794166"/>
    <w:rsid w:val="00795081"/>
    <w:rsid w:val="00796AB0"/>
    <w:rsid w:val="00797CE2"/>
    <w:rsid w:val="007A040B"/>
    <w:rsid w:val="007A29B5"/>
    <w:rsid w:val="007A29D7"/>
    <w:rsid w:val="007A3975"/>
    <w:rsid w:val="007A4006"/>
    <w:rsid w:val="007A41C8"/>
    <w:rsid w:val="007A47CF"/>
    <w:rsid w:val="007A508F"/>
    <w:rsid w:val="007A64E8"/>
    <w:rsid w:val="007A6D32"/>
    <w:rsid w:val="007A7E5E"/>
    <w:rsid w:val="007A7FCE"/>
    <w:rsid w:val="007B1826"/>
    <w:rsid w:val="007B1EAD"/>
    <w:rsid w:val="007B2A3D"/>
    <w:rsid w:val="007B2C1F"/>
    <w:rsid w:val="007B4875"/>
    <w:rsid w:val="007B4BBE"/>
    <w:rsid w:val="007B5970"/>
    <w:rsid w:val="007B59A2"/>
    <w:rsid w:val="007B630C"/>
    <w:rsid w:val="007C03F8"/>
    <w:rsid w:val="007C1745"/>
    <w:rsid w:val="007C24BE"/>
    <w:rsid w:val="007C3614"/>
    <w:rsid w:val="007C37F7"/>
    <w:rsid w:val="007C3DE6"/>
    <w:rsid w:val="007C4CDF"/>
    <w:rsid w:val="007C4DC2"/>
    <w:rsid w:val="007C548E"/>
    <w:rsid w:val="007C6683"/>
    <w:rsid w:val="007C74B8"/>
    <w:rsid w:val="007C74EA"/>
    <w:rsid w:val="007C753F"/>
    <w:rsid w:val="007C7CFE"/>
    <w:rsid w:val="007D0436"/>
    <w:rsid w:val="007D056B"/>
    <w:rsid w:val="007D0D62"/>
    <w:rsid w:val="007D21B4"/>
    <w:rsid w:val="007D38B5"/>
    <w:rsid w:val="007D544F"/>
    <w:rsid w:val="007D6245"/>
    <w:rsid w:val="007E1064"/>
    <w:rsid w:val="007E195E"/>
    <w:rsid w:val="007E3897"/>
    <w:rsid w:val="007E5230"/>
    <w:rsid w:val="007E5A82"/>
    <w:rsid w:val="007E62AD"/>
    <w:rsid w:val="007E6927"/>
    <w:rsid w:val="007F12AD"/>
    <w:rsid w:val="007F19DB"/>
    <w:rsid w:val="007F2E8A"/>
    <w:rsid w:val="007F457F"/>
    <w:rsid w:val="007F4FDC"/>
    <w:rsid w:val="007F56C2"/>
    <w:rsid w:val="007F5D5F"/>
    <w:rsid w:val="00802DE2"/>
    <w:rsid w:val="00803CD0"/>
    <w:rsid w:val="00804E53"/>
    <w:rsid w:val="008073A4"/>
    <w:rsid w:val="00807AAA"/>
    <w:rsid w:val="00807D66"/>
    <w:rsid w:val="00810BD2"/>
    <w:rsid w:val="008113D6"/>
    <w:rsid w:val="00811502"/>
    <w:rsid w:val="00811BC2"/>
    <w:rsid w:val="00813870"/>
    <w:rsid w:val="00815139"/>
    <w:rsid w:val="00815DAB"/>
    <w:rsid w:val="00820855"/>
    <w:rsid w:val="0082282A"/>
    <w:rsid w:val="0082555C"/>
    <w:rsid w:val="00825ED8"/>
    <w:rsid w:val="008329A1"/>
    <w:rsid w:val="008360BA"/>
    <w:rsid w:val="008402A5"/>
    <w:rsid w:val="00841902"/>
    <w:rsid w:val="008423C1"/>
    <w:rsid w:val="008441D2"/>
    <w:rsid w:val="0084566C"/>
    <w:rsid w:val="008463DA"/>
    <w:rsid w:val="00846BA7"/>
    <w:rsid w:val="0084703B"/>
    <w:rsid w:val="0084712E"/>
    <w:rsid w:val="0085082A"/>
    <w:rsid w:val="00853AB1"/>
    <w:rsid w:val="0085425D"/>
    <w:rsid w:val="008551DD"/>
    <w:rsid w:val="00860235"/>
    <w:rsid w:val="00863503"/>
    <w:rsid w:val="0086626F"/>
    <w:rsid w:val="008663D3"/>
    <w:rsid w:val="008678D1"/>
    <w:rsid w:val="008722CE"/>
    <w:rsid w:val="0087264B"/>
    <w:rsid w:val="00874A7F"/>
    <w:rsid w:val="00876465"/>
    <w:rsid w:val="00880BCB"/>
    <w:rsid w:val="00880D19"/>
    <w:rsid w:val="00882746"/>
    <w:rsid w:val="00882C2F"/>
    <w:rsid w:val="00883D0B"/>
    <w:rsid w:val="00885657"/>
    <w:rsid w:val="008906B0"/>
    <w:rsid w:val="00892E93"/>
    <w:rsid w:val="00893F1F"/>
    <w:rsid w:val="008945C3"/>
    <w:rsid w:val="00894CFF"/>
    <w:rsid w:val="00895F0E"/>
    <w:rsid w:val="0089673D"/>
    <w:rsid w:val="00896877"/>
    <w:rsid w:val="00897EB1"/>
    <w:rsid w:val="008A1485"/>
    <w:rsid w:val="008A2C68"/>
    <w:rsid w:val="008A54D3"/>
    <w:rsid w:val="008B3AB6"/>
    <w:rsid w:val="008B4D33"/>
    <w:rsid w:val="008B5145"/>
    <w:rsid w:val="008B550C"/>
    <w:rsid w:val="008B71D5"/>
    <w:rsid w:val="008B7BC8"/>
    <w:rsid w:val="008C0816"/>
    <w:rsid w:val="008C12B2"/>
    <w:rsid w:val="008C3882"/>
    <w:rsid w:val="008C3DDF"/>
    <w:rsid w:val="008C67BD"/>
    <w:rsid w:val="008D1239"/>
    <w:rsid w:val="008D1730"/>
    <w:rsid w:val="008D6BE3"/>
    <w:rsid w:val="008E2622"/>
    <w:rsid w:val="008E2C5C"/>
    <w:rsid w:val="008E4FCB"/>
    <w:rsid w:val="008F0532"/>
    <w:rsid w:val="008F066C"/>
    <w:rsid w:val="008F1507"/>
    <w:rsid w:val="008F198B"/>
    <w:rsid w:val="008F5EA6"/>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DDB"/>
    <w:rsid w:val="0094282A"/>
    <w:rsid w:val="00951A21"/>
    <w:rsid w:val="00954629"/>
    <w:rsid w:val="00954CFA"/>
    <w:rsid w:val="009562E2"/>
    <w:rsid w:val="00956DE4"/>
    <w:rsid w:val="009668B8"/>
    <w:rsid w:val="00967200"/>
    <w:rsid w:val="009679E4"/>
    <w:rsid w:val="009706AB"/>
    <w:rsid w:val="00971E51"/>
    <w:rsid w:val="0097384E"/>
    <w:rsid w:val="009738C4"/>
    <w:rsid w:val="00973AA5"/>
    <w:rsid w:val="00974B8B"/>
    <w:rsid w:val="00975429"/>
    <w:rsid w:val="00976332"/>
    <w:rsid w:val="00976F12"/>
    <w:rsid w:val="00977D7C"/>
    <w:rsid w:val="009817F8"/>
    <w:rsid w:val="00985A1E"/>
    <w:rsid w:val="00985A93"/>
    <w:rsid w:val="00987724"/>
    <w:rsid w:val="00992C7F"/>
    <w:rsid w:val="00993404"/>
    <w:rsid w:val="00994264"/>
    <w:rsid w:val="00995C95"/>
    <w:rsid w:val="00997A4E"/>
    <w:rsid w:val="009A01AF"/>
    <w:rsid w:val="009A0E2B"/>
    <w:rsid w:val="009A1434"/>
    <w:rsid w:val="009A3732"/>
    <w:rsid w:val="009A4429"/>
    <w:rsid w:val="009A44D9"/>
    <w:rsid w:val="009A4EC2"/>
    <w:rsid w:val="009A5709"/>
    <w:rsid w:val="009A5C69"/>
    <w:rsid w:val="009A5E34"/>
    <w:rsid w:val="009A7160"/>
    <w:rsid w:val="009B0220"/>
    <w:rsid w:val="009B071D"/>
    <w:rsid w:val="009B15AE"/>
    <w:rsid w:val="009B1E44"/>
    <w:rsid w:val="009B22D8"/>
    <w:rsid w:val="009B25EA"/>
    <w:rsid w:val="009B2F3A"/>
    <w:rsid w:val="009B304D"/>
    <w:rsid w:val="009B32CE"/>
    <w:rsid w:val="009B3A1E"/>
    <w:rsid w:val="009B40D9"/>
    <w:rsid w:val="009B4A2C"/>
    <w:rsid w:val="009B6D4D"/>
    <w:rsid w:val="009B73D9"/>
    <w:rsid w:val="009C54AE"/>
    <w:rsid w:val="009C71EF"/>
    <w:rsid w:val="009C721A"/>
    <w:rsid w:val="009C7D8C"/>
    <w:rsid w:val="009C7FA7"/>
    <w:rsid w:val="009D143E"/>
    <w:rsid w:val="009D211C"/>
    <w:rsid w:val="009D2A8B"/>
    <w:rsid w:val="009D3862"/>
    <w:rsid w:val="009D3883"/>
    <w:rsid w:val="009D56B7"/>
    <w:rsid w:val="009D5E95"/>
    <w:rsid w:val="009D6DB8"/>
    <w:rsid w:val="009D7A28"/>
    <w:rsid w:val="009E00F4"/>
    <w:rsid w:val="009E39A0"/>
    <w:rsid w:val="009E4666"/>
    <w:rsid w:val="009E4B8F"/>
    <w:rsid w:val="009E4CB9"/>
    <w:rsid w:val="009E640E"/>
    <w:rsid w:val="009F02B0"/>
    <w:rsid w:val="009F0869"/>
    <w:rsid w:val="009F1B51"/>
    <w:rsid w:val="009F1D1C"/>
    <w:rsid w:val="009F3086"/>
    <w:rsid w:val="009F362F"/>
    <w:rsid w:val="009F373D"/>
    <w:rsid w:val="009F5040"/>
    <w:rsid w:val="009F644C"/>
    <w:rsid w:val="00A03212"/>
    <w:rsid w:val="00A03839"/>
    <w:rsid w:val="00A04388"/>
    <w:rsid w:val="00A04D42"/>
    <w:rsid w:val="00A04D82"/>
    <w:rsid w:val="00A0581E"/>
    <w:rsid w:val="00A100D4"/>
    <w:rsid w:val="00A10285"/>
    <w:rsid w:val="00A10F61"/>
    <w:rsid w:val="00A12275"/>
    <w:rsid w:val="00A12AD7"/>
    <w:rsid w:val="00A16A44"/>
    <w:rsid w:val="00A1705B"/>
    <w:rsid w:val="00A21305"/>
    <w:rsid w:val="00A219FB"/>
    <w:rsid w:val="00A245DD"/>
    <w:rsid w:val="00A25A90"/>
    <w:rsid w:val="00A25CDE"/>
    <w:rsid w:val="00A25E94"/>
    <w:rsid w:val="00A3094F"/>
    <w:rsid w:val="00A32A62"/>
    <w:rsid w:val="00A32D0C"/>
    <w:rsid w:val="00A350E9"/>
    <w:rsid w:val="00A3612D"/>
    <w:rsid w:val="00A4237A"/>
    <w:rsid w:val="00A44480"/>
    <w:rsid w:val="00A4483A"/>
    <w:rsid w:val="00A46F5D"/>
    <w:rsid w:val="00A474D2"/>
    <w:rsid w:val="00A50539"/>
    <w:rsid w:val="00A50DA0"/>
    <w:rsid w:val="00A5117B"/>
    <w:rsid w:val="00A51670"/>
    <w:rsid w:val="00A524FE"/>
    <w:rsid w:val="00A53145"/>
    <w:rsid w:val="00A53A53"/>
    <w:rsid w:val="00A53E54"/>
    <w:rsid w:val="00A54BEB"/>
    <w:rsid w:val="00A5587B"/>
    <w:rsid w:val="00A56FCC"/>
    <w:rsid w:val="00A57582"/>
    <w:rsid w:val="00A61063"/>
    <w:rsid w:val="00A61331"/>
    <w:rsid w:val="00A63C29"/>
    <w:rsid w:val="00A63F98"/>
    <w:rsid w:val="00A65244"/>
    <w:rsid w:val="00A65B24"/>
    <w:rsid w:val="00A663F5"/>
    <w:rsid w:val="00A67884"/>
    <w:rsid w:val="00A70F38"/>
    <w:rsid w:val="00A7397C"/>
    <w:rsid w:val="00A74A33"/>
    <w:rsid w:val="00A75949"/>
    <w:rsid w:val="00A779FB"/>
    <w:rsid w:val="00A803A2"/>
    <w:rsid w:val="00A816AA"/>
    <w:rsid w:val="00A82111"/>
    <w:rsid w:val="00A828DE"/>
    <w:rsid w:val="00A82E72"/>
    <w:rsid w:val="00A86192"/>
    <w:rsid w:val="00A90563"/>
    <w:rsid w:val="00A93DBF"/>
    <w:rsid w:val="00A943AA"/>
    <w:rsid w:val="00A94BF2"/>
    <w:rsid w:val="00A94EC8"/>
    <w:rsid w:val="00A9687B"/>
    <w:rsid w:val="00AA42B3"/>
    <w:rsid w:val="00AA4C65"/>
    <w:rsid w:val="00AA70BC"/>
    <w:rsid w:val="00AB0762"/>
    <w:rsid w:val="00AB0DB7"/>
    <w:rsid w:val="00AB0EA8"/>
    <w:rsid w:val="00AB4D0C"/>
    <w:rsid w:val="00AB50D9"/>
    <w:rsid w:val="00AB531C"/>
    <w:rsid w:val="00AB537C"/>
    <w:rsid w:val="00AB64AA"/>
    <w:rsid w:val="00AC0699"/>
    <w:rsid w:val="00AC18E2"/>
    <w:rsid w:val="00AC259E"/>
    <w:rsid w:val="00AC35C7"/>
    <w:rsid w:val="00AC4496"/>
    <w:rsid w:val="00AC6CF4"/>
    <w:rsid w:val="00AC7005"/>
    <w:rsid w:val="00AC765E"/>
    <w:rsid w:val="00AC79C6"/>
    <w:rsid w:val="00AD13D8"/>
    <w:rsid w:val="00AD16C8"/>
    <w:rsid w:val="00AD19E3"/>
    <w:rsid w:val="00AD3CA7"/>
    <w:rsid w:val="00AD3DE7"/>
    <w:rsid w:val="00AD4472"/>
    <w:rsid w:val="00AD460D"/>
    <w:rsid w:val="00AD69BF"/>
    <w:rsid w:val="00AD7211"/>
    <w:rsid w:val="00AE15B3"/>
    <w:rsid w:val="00AE1E44"/>
    <w:rsid w:val="00AE2EB5"/>
    <w:rsid w:val="00AE32E6"/>
    <w:rsid w:val="00AE4B63"/>
    <w:rsid w:val="00AE67CE"/>
    <w:rsid w:val="00AE7394"/>
    <w:rsid w:val="00AF0D2A"/>
    <w:rsid w:val="00AF1107"/>
    <w:rsid w:val="00AF3856"/>
    <w:rsid w:val="00AF38F4"/>
    <w:rsid w:val="00AF4AB4"/>
    <w:rsid w:val="00AF684A"/>
    <w:rsid w:val="00AF6DB2"/>
    <w:rsid w:val="00B007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484B"/>
    <w:rsid w:val="00B24A00"/>
    <w:rsid w:val="00B25439"/>
    <w:rsid w:val="00B25D95"/>
    <w:rsid w:val="00B30102"/>
    <w:rsid w:val="00B310C0"/>
    <w:rsid w:val="00B31540"/>
    <w:rsid w:val="00B32D35"/>
    <w:rsid w:val="00B33E8A"/>
    <w:rsid w:val="00B341DA"/>
    <w:rsid w:val="00B408D6"/>
    <w:rsid w:val="00B427F7"/>
    <w:rsid w:val="00B45B55"/>
    <w:rsid w:val="00B45C9E"/>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5229"/>
    <w:rsid w:val="00B66140"/>
    <w:rsid w:val="00B67956"/>
    <w:rsid w:val="00B72AB0"/>
    <w:rsid w:val="00B7364A"/>
    <w:rsid w:val="00B75E7C"/>
    <w:rsid w:val="00B83757"/>
    <w:rsid w:val="00B83DE8"/>
    <w:rsid w:val="00B85C67"/>
    <w:rsid w:val="00B86B2D"/>
    <w:rsid w:val="00B87415"/>
    <w:rsid w:val="00B901D2"/>
    <w:rsid w:val="00B918FF"/>
    <w:rsid w:val="00B929BC"/>
    <w:rsid w:val="00B93783"/>
    <w:rsid w:val="00B93983"/>
    <w:rsid w:val="00B94B68"/>
    <w:rsid w:val="00B95E2F"/>
    <w:rsid w:val="00B978BD"/>
    <w:rsid w:val="00B979BA"/>
    <w:rsid w:val="00BA00FF"/>
    <w:rsid w:val="00BA0E38"/>
    <w:rsid w:val="00BA5F85"/>
    <w:rsid w:val="00BA75F8"/>
    <w:rsid w:val="00BA767D"/>
    <w:rsid w:val="00BB0668"/>
    <w:rsid w:val="00BB0B03"/>
    <w:rsid w:val="00BB4585"/>
    <w:rsid w:val="00BB76F9"/>
    <w:rsid w:val="00BC06D9"/>
    <w:rsid w:val="00BC48C0"/>
    <w:rsid w:val="00BC5A14"/>
    <w:rsid w:val="00BC6481"/>
    <w:rsid w:val="00BC6B5A"/>
    <w:rsid w:val="00BC7D68"/>
    <w:rsid w:val="00BD2FBB"/>
    <w:rsid w:val="00BD323C"/>
    <w:rsid w:val="00BD4C26"/>
    <w:rsid w:val="00BD5771"/>
    <w:rsid w:val="00BD744D"/>
    <w:rsid w:val="00BD7A06"/>
    <w:rsid w:val="00BE1FA3"/>
    <w:rsid w:val="00BE2852"/>
    <w:rsid w:val="00BE2A83"/>
    <w:rsid w:val="00BE4BC8"/>
    <w:rsid w:val="00BE4D81"/>
    <w:rsid w:val="00BE57AE"/>
    <w:rsid w:val="00BE5C58"/>
    <w:rsid w:val="00BF02A5"/>
    <w:rsid w:val="00BF08A2"/>
    <w:rsid w:val="00BF0BA7"/>
    <w:rsid w:val="00BF1437"/>
    <w:rsid w:val="00BF1A30"/>
    <w:rsid w:val="00BF2344"/>
    <w:rsid w:val="00BF25D3"/>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2B60"/>
    <w:rsid w:val="00C2308D"/>
    <w:rsid w:val="00C23183"/>
    <w:rsid w:val="00C244BD"/>
    <w:rsid w:val="00C2461F"/>
    <w:rsid w:val="00C2555A"/>
    <w:rsid w:val="00C2562B"/>
    <w:rsid w:val="00C25E8A"/>
    <w:rsid w:val="00C278C9"/>
    <w:rsid w:val="00C30416"/>
    <w:rsid w:val="00C30A6F"/>
    <w:rsid w:val="00C30DF3"/>
    <w:rsid w:val="00C318DE"/>
    <w:rsid w:val="00C32BFF"/>
    <w:rsid w:val="00C33453"/>
    <w:rsid w:val="00C401DE"/>
    <w:rsid w:val="00C405C9"/>
    <w:rsid w:val="00C4110F"/>
    <w:rsid w:val="00C420AE"/>
    <w:rsid w:val="00C44233"/>
    <w:rsid w:val="00C460E4"/>
    <w:rsid w:val="00C463DC"/>
    <w:rsid w:val="00C5050F"/>
    <w:rsid w:val="00C50F47"/>
    <w:rsid w:val="00C52198"/>
    <w:rsid w:val="00C524B6"/>
    <w:rsid w:val="00C53B05"/>
    <w:rsid w:val="00C53B8B"/>
    <w:rsid w:val="00C55340"/>
    <w:rsid w:val="00C5795F"/>
    <w:rsid w:val="00C619DC"/>
    <w:rsid w:val="00C64FB1"/>
    <w:rsid w:val="00C7231A"/>
    <w:rsid w:val="00C7279D"/>
    <w:rsid w:val="00C7301C"/>
    <w:rsid w:val="00C734E4"/>
    <w:rsid w:val="00C73EF2"/>
    <w:rsid w:val="00C74B5A"/>
    <w:rsid w:val="00C81A12"/>
    <w:rsid w:val="00C82EC5"/>
    <w:rsid w:val="00C85BFF"/>
    <w:rsid w:val="00C873A4"/>
    <w:rsid w:val="00C9099A"/>
    <w:rsid w:val="00C90EA9"/>
    <w:rsid w:val="00CA0476"/>
    <w:rsid w:val="00CA1224"/>
    <w:rsid w:val="00CA5E0A"/>
    <w:rsid w:val="00CA6567"/>
    <w:rsid w:val="00CA7468"/>
    <w:rsid w:val="00CB165F"/>
    <w:rsid w:val="00CB18A2"/>
    <w:rsid w:val="00CB3621"/>
    <w:rsid w:val="00CC1380"/>
    <w:rsid w:val="00CC3690"/>
    <w:rsid w:val="00CC47FF"/>
    <w:rsid w:val="00CC7D91"/>
    <w:rsid w:val="00CD08DD"/>
    <w:rsid w:val="00CD13E3"/>
    <w:rsid w:val="00CD1A96"/>
    <w:rsid w:val="00CD2824"/>
    <w:rsid w:val="00CD6203"/>
    <w:rsid w:val="00CD7641"/>
    <w:rsid w:val="00CE05DB"/>
    <w:rsid w:val="00CE0777"/>
    <w:rsid w:val="00CE1474"/>
    <w:rsid w:val="00CE2393"/>
    <w:rsid w:val="00CE2682"/>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31D0"/>
    <w:rsid w:val="00D04FA2"/>
    <w:rsid w:val="00D05363"/>
    <w:rsid w:val="00D0700B"/>
    <w:rsid w:val="00D125AC"/>
    <w:rsid w:val="00D12F91"/>
    <w:rsid w:val="00D14162"/>
    <w:rsid w:val="00D14AAA"/>
    <w:rsid w:val="00D155DC"/>
    <w:rsid w:val="00D15C7E"/>
    <w:rsid w:val="00D17641"/>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55D2"/>
    <w:rsid w:val="00D46BED"/>
    <w:rsid w:val="00D46DD0"/>
    <w:rsid w:val="00D51D58"/>
    <w:rsid w:val="00D51E45"/>
    <w:rsid w:val="00D53D4E"/>
    <w:rsid w:val="00D55309"/>
    <w:rsid w:val="00D567D8"/>
    <w:rsid w:val="00D56A56"/>
    <w:rsid w:val="00D601BE"/>
    <w:rsid w:val="00D624FA"/>
    <w:rsid w:val="00D648DD"/>
    <w:rsid w:val="00D66F15"/>
    <w:rsid w:val="00D67CDF"/>
    <w:rsid w:val="00D7012E"/>
    <w:rsid w:val="00D71C76"/>
    <w:rsid w:val="00D7210F"/>
    <w:rsid w:val="00D72DDC"/>
    <w:rsid w:val="00D73733"/>
    <w:rsid w:val="00D7595A"/>
    <w:rsid w:val="00D75AD7"/>
    <w:rsid w:val="00D761A3"/>
    <w:rsid w:val="00D8078E"/>
    <w:rsid w:val="00D8377A"/>
    <w:rsid w:val="00D83D65"/>
    <w:rsid w:val="00D8512F"/>
    <w:rsid w:val="00D85ED0"/>
    <w:rsid w:val="00D874D3"/>
    <w:rsid w:val="00D87815"/>
    <w:rsid w:val="00D937E3"/>
    <w:rsid w:val="00D93BE8"/>
    <w:rsid w:val="00D93F81"/>
    <w:rsid w:val="00D94428"/>
    <w:rsid w:val="00D94683"/>
    <w:rsid w:val="00D9558B"/>
    <w:rsid w:val="00D957E5"/>
    <w:rsid w:val="00D95832"/>
    <w:rsid w:val="00D965A7"/>
    <w:rsid w:val="00DA1DA5"/>
    <w:rsid w:val="00DA2488"/>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965"/>
    <w:rsid w:val="00DE7FC8"/>
    <w:rsid w:val="00DF1DD2"/>
    <w:rsid w:val="00DF35FC"/>
    <w:rsid w:val="00DF4C2E"/>
    <w:rsid w:val="00DF5546"/>
    <w:rsid w:val="00E013D1"/>
    <w:rsid w:val="00E04FA7"/>
    <w:rsid w:val="00E05729"/>
    <w:rsid w:val="00E068EF"/>
    <w:rsid w:val="00E07DDF"/>
    <w:rsid w:val="00E106CC"/>
    <w:rsid w:val="00E11EEB"/>
    <w:rsid w:val="00E13C75"/>
    <w:rsid w:val="00E14889"/>
    <w:rsid w:val="00E14B57"/>
    <w:rsid w:val="00E20A48"/>
    <w:rsid w:val="00E212CD"/>
    <w:rsid w:val="00E2161F"/>
    <w:rsid w:val="00E23D5C"/>
    <w:rsid w:val="00E2504C"/>
    <w:rsid w:val="00E26838"/>
    <w:rsid w:val="00E27A1A"/>
    <w:rsid w:val="00E27CD0"/>
    <w:rsid w:val="00E27F4A"/>
    <w:rsid w:val="00E30092"/>
    <w:rsid w:val="00E306FA"/>
    <w:rsid w:val="00E3226A"/>
    <w:rsid w:val="00E33135"/>
    <w:rsid w:val="00E350DA"/>
    <w:rsid w:val="00E40C89"/>
    <w:rsid w:val="00E40F0D"/>
    <w:rsid w:val="00E441DE"/>
    <w:rsid w:val="00E44314"/>
    <w:rsid w:val="00E5094F"/>
    <w:rsid w:val="00E52A65"/>
    <w:rsid w:val="00E54BAE"/>
    <w:rsid w:val="00E5576F"/>
    <w:rsid w:val="00E56B3D"/>
    <w:rsid w:val="00E57BF2"/>
    <w:rsid w:val="00E57E4C"/>
    <w:rsid w:val="00E60E0D"/>
    <w:rsid w:val="00E6464A"/>
    <w:rsid w:val="00E70B82"/>
    <w:rsid w:val="00E72A1E"/>
    <w:rsid w:val="00E7312C"/>
    <w:rsid w:val="00E737B5"/>
    <w:rsid w:val="00E74166"/>
    <w:rsid w:val="00E770F5"/>
    <w:rsid w:val="00E77D0D"/>
    <w:rsid w:val="00E80DFC"/>
    <w:rsid w:val="00E8334E"/>
    <w:rsid w:val="00E84B0C"/>
    <w:rsid w:val="00E85A70"/>
    <w:rsid w:val="00E86903"/>
    <w:rsid w:val="00E86BEA"/>
    <w:rsid w:val="00E872FE"/>
    <w:rsid w:val="00E87B57"/>
    <w:rsid w:val="00E90217"/>
    <w:rsid w:val="00E90FE4"/>
    <w:rsid w:val="00E91488"/>
    <w:rsid w:val="00E915BD"/>
    <w:rsid w:val="00E95A8F"/>
    <w:rsid w:val="00EA026F"/>
    <w:rsid w:val="00EA13AE"/>
    <w:rsid w:val="00EA73EF"/>
    <w:rsid w:val="00EB2F2D"/>
    <w:rsid w:val="00EB3C9F"/>
    <w:rsid w:val="00EB4908"/>
    <w:rsid w:val="00EB51E7"/>
    <w:rsid w:val="00EB5A34"/>
    <w:rsid w:val="00EB6509"/>
    <w:rsid w:val="00EB7113"/>
    <w:rsid w:val="00EC06BA"/>
    <w:rsid w:val="00EC336C"/>
    <w:rsid w:val="00EC599B"/>
    <w:rsid w:val="00EC5C40"/>
    <w:rsid w:val="00EC69A8"/>
    <w:rsid w:val="00EC70F0"/>
    <w:rsid w:val="00ED0581"/>
    <w:rsid w:val="00ED0C20"/>
    <w:rsid w:val="00ED2ACE"/>
    <w:rsid w:val="00ED4BDC"/>
    <w:rsid w:val="00ED76E9"/>
    <w:rsid w:val="00EE0830"/>
    <w:rsid w:val="00EE1302"/>
    <w:rsid w:val="00EE30ED"/>
    <w:rsid w:val="00EE3525"/>
    <w:rsid w:val="00EE401C"/>
    <w:rsid w:val="00EE45E3"/>
    <w:rsid w:val="00EE552F"/>
    <w:rsid w:val="00EF2FF8"/>
    <w:rsid w:val="00EF4797"/>
    <w:rsid w:val="00EF4DCD"/>
    <w:rsid w:val="00EF62BF"/>
    <w:rsid w:val="00F01310"/>
    <w:rsid w:val="00F01BA7"/>
    <w:rsid w:val="00F07115"/>
    <w:rsid w:val="00F0753E"/>
    <w:rsid w:val="00F1032C"/>
    <w:rsid w:val="00F10FEA"/>
    <w:rsid w:val="00F1218F"/>
    <w:rsid w:val="00F12B9C"/>
    <w:rsid w:val="00F12F07"/>
    <w:rsid w:val="00F14147"/>
    <w:rsid w:val="00F148BE"/>
    <w:rsid w:val="00F15E23"/>
    <w:rsid w:val="00F16AA7"/>
    <w:rsid w:val="00F16E34"/>
    <w:rsid w:val="00F203C3"/>
    <w:rsid w:val="00F20F82"/>
    <w:rsid w:val="00F21BF9"/>
    <w:rsid w:val="00F2284C"/>
    <w:rsid w:val="00F22F8B"/>
    <w:rsid w:val="00F278F7"/>
    <w:rsid w:val="00F303D0"/>
    <w:rsid w:val="00F30C61"/>
    <w:rsid w:val="00F30E30"/>
    <w:rsid w:val="00F314C9"/>
    <w:rsid w:val="00F31A13"/>
    <w:rsid w:val="00F328B6"/>
    <w:rsid w:val="00F33FDD"/>
    <w:rsid w:val="00F34395"/>
    <w:rsid w:val="00F40F3A"/>
    <w:rsid w:val="00F4268F"/>
    <w:rsid w:val="00F43228"/>
    <w:rsid w:val="00F44C9E"/>
    <w:rsid w:val="00F454F3"/>
    <w:rsid w:val="00F502BF"/>
    <w:rsid w:val="00F516E8"/>
    <w:rsid w:val="00F52EEF"/>
    <w:rsid w:val="00F53246"/>
    <w:rsid w:val="00F545A1"/>
    <w:rsid w:val="00F57645"/>
    <w:rsid w:val="00F60474"/>
    <w:rsid w:val="00F6055A"/>
    <w:rsid w:val="00F61B71"/>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61E3"/>
    <w:rsid w:val="00F97788"/>
    <w:rsid w:val="00FA0B67"/>
    <w:rsid w:val="00FA1036"/>
    <w:rsid w:val="00FA24EA"/>
    <w:rsid w:val="00FA28C3"/>
    <w:rsid w:val="00FB1A96"/>
    <w:rsid w:val="00FB59C1"/>
    <w:rsid w:val="00FB5B3C"/>
    <w:rsid w:val="00FB632A"/>
    <w:rsid w:val="00FB635B"/>
    <w:rsid w:val="00FC03C1"/>
    <w:rsid w:val="00FC1AFA"/>
    <w:rsid w:val="00FC2B8C"/>
    <w:rsid w:val="00FC36DD"/>
    <w:rsid w:val="00FC4834"/>
    <w:rsid w:val="00FC6ACF"/>
    <w:rsid w:val="00FC74FD"/>
    <w:rsid w:val="00FD0161"/>
    <w:rsid w:val="00FD0E0C"/>
    <w:rsid w:val="00FD12AD"/>
    <w:rsid w:val="00FD3337"/>
    <w:rsid w:val="00FD4A1F"/>
    <w:rsid w:val="00FD50E6"/>
    <w:rsid w:val="00FD5141"/>
    <w:rsid w:val="00FD63D9"/>
    <w:rsid w:val="00FD7AC0"/>
    <w:rsid w:val="00FE19BF"/>
    <w:rsid w:val="00FE3407"/>
    <w:rsid w:val="00FE4131"/>
    <w:rsid w:val="00FE4A0A"/>
    <w:rsid w:val="00FE4D7D"/>
    <w:rsid w:val="00FE5E40"/>
    <w:rsid w:val="00FE6796"/>
    <w:rsid w:val="00FE6AC1"/>
    <w:rsid w:val="00FF016E"/>
    <w:rsid w:val="00FF10DC"/>
    <w:rsid w:val="00FF2976"/>
    <w:rsid w:val="00FF3A0E"/>
    <w:rsid w:val="00FF3E3A"/>
    <w:rsid w:val="00FF3F83"/>
    <w:rsid w:val="00FF5408"/>
    <w:rsid w:val="01535EBC"/>
    <w:rsid w:val="01A051A5"/>
    <w:rsid w:val="01A85454"/>
    <w:rsid w:val="01AD6336"/>
    <w:rsid w:val="01ED2F4F"/>
    <w:rsid w:val="02B61011"/>
    <w:rsid w:val="02D459B5"/>
    <w:rsid w:val="0361707E"/>
    <w:rsid w:val="038627B8"/>
    <w:rsid w:val="038A4CD9"/>
    <w:rsid w:val="03CF7FA1"/>
    <w:rsid w:val="04115339"/>
    <w:rsid w:val="04740C47"/>
    <w:rsid w:val="04FF1170"/>
    <w:rsid w:val="059B58CF"/>
    <w:rsid w:val="05E85B05"/>
    <w:rsid w:val="060B7677"/>
    <w:rsid w:val="061A5313"/>
    <w:rsid w:val="0641548F"/>
    <w:rsid w:val="06424288"/>
    <w:rsid w:val="06492AAF"/>
    <w:rsid w:val="0671338F"/>
    <w:rsid w:val="067B3187"/>
    <w:rsid w:val="0698417D"/>
    <w:rsid w:val="06CD6568"/>
    <w:rsid w:val="070754CD"/>
    <w:rsid w:val="072E7F81"/>
    <w:rsid w:val="0734625B"/>
    <w:rsid w:val="07351825"/>
    <w:rsid w:val="07E6548A"/>
    <w:rsid w:val="0806057A"/>
    <w:rsid w:val="086072B4"/>
    <w:rsid w:val="088E4584"/>
    <w:rsid w:val="08D02C41"/>
    <w:rsid w:val="08E73F86"/>
    <w:rsid w:val="094216B7"/>
    <w:rsid w:val="096D18D3"/>
    <w:rsid w:val="09C02BBF"/>
    <w:rsid w:val="09F47D13"/>
    <w:rsid w:val="0A337367"/>
    <w:rsid w:val="0ABD67A5"/>
    <w:rsid w:val="0AC74C67"/>
    <w:rsid w:val="0AEC4C33"/>
    <w:rsid w:val="0AF81F7D"/>
    <w:rsid w:val="0AF9651E"/>
    <w:rsid w:val="0B9E4ED7"/>
    <w:rsid w:val="0BB86913"/>
    <w:rsid w:val="0BC24B89"/>
    <w:rsid w:val="0BF608EB"/>
    <w:rsid w:val="0C2D2C42"/>
    <w:rsid w:val="0C5A1F45"/>
    <w:rsid w:val="0D3614D2"/>
    <w:rsid w:val="0D4A190D"/>
    <w:rsid w:val="0D9A18D0"/>
    <w:rsid w:val="0DD0188F"/>
    <w:rsid w:val="0DFB4882"/>
    <w:rsid w:val="0E181750"/>
    <w:rsid w:val="0EA0111B"/>
    <w:rsid w:val="0EB94892"/>
    <w:rsid w:val="0EC47C6D"/>
    <w:rsid w:val="0F012471"/>
    <w:rsid w:val="0F09353F"/>
    <w:rsid w:val="0F0E2BA5"/>
    <w:rsid w:val="0F380138"/>
    <w:rsid w:val="0F5F7948"/>
    <w:rsid w:val="0FCE6163"/>
    <w:rsid w:val="10065FA8"/>
    <w:rsid w:val="10750BDE"/>
    <w:rsid w:val="107B6E3A"/>
    <w:rsid w:val="10AE1ACD"/>
    <w:rsid w:val="10BE71C3"/>
    <w:rsid w:val="11337EFB"/>
    <w:rsid w:val="115713ED"/>
    <w:rsid w:val="11600A16"/>
    <w:rsid w:val="116B71EB"/>
    <w:rsid w:val="11B30D94"/>
    <w:rsid w:val="12E45657"/>
    <w:rsid w:val="12F66907"/>
    <w:rsid w:val="130A6356"/>
    <w:rsid w:val="133736BB"/>
    <w:rsid w:val="1360576D"/>
    <w:rsid w:val="137463DF"/>
    <w:rsid w:val="1426405A"/>
    <w:rsid w:val="143C2427"/>
    <w:rsid w:val="14421207"/>
    <w:rsid w:val="14481B6D"/>
    <w:rsid w:val="14A17454"/>
    <w:rsid w:val="14E52296"/>
    <w:rsid w:val="15537400"/>
    <w:rsid w:val="15562652"/>
    <w:rsid w:val="1583223F"/>
    <w:rsid w:val="15C01995"/>
    <w:rsid w:val="15D64F91"/>
    <w:rsid w:val="15D92473"/>
    <w:rsid w:val="15F546BA"/>
    <w:rsid w:val="15FF414E"/>
    <w:rsid w:val="160E5BA4"/>
    <w:rsid w:val="16595AD6"/>
    <w:rsid w:val="165D02EF"/>
    <w:rsid w:val="168B794A"/>
    <w:rsid w:val="16D1158E"/>
    <w:rsid w:val="17183CCA"/>
    <w:rsid w:val="17360BC8"/>
    <w:rsid w:val="174428E9"/>
    <w:rsid w:val="17452200"/>
    <w:rsid w:val="176420E2"/>
    <w:rsid w:val="178B74E4"/>
    <w:rsid w:val="17B2179E"/>
    <w:rsid w:val="18127246"/>
    <w:rsid w:val="18376C5B"/>
    <w:rsid w:val="183C749A"/>
    <w:rsid w:val="185E77BE"/>
    <w:rsid w:val="189F6B50"/>
    <w:rsid w:val="18BB49A9"/>
    <w:rsid w:val="19AC6797"/>
    <w:rsid w:val="19EF6BBB"/>
    <w:rsid w:val="19FE3D52"/>
    <w:rsid w:val="1A680331"/>
    <w:rsid w:val="1A7C2890"/>
    <w:rsid w:val="1AA8733D"/>
    <w:rsid w:val="1ACE4B7E"/>
    <w:rsid w:val="1B0051DB"/>
    <w:rsid w:val="1B324FB0"/>
    <w:rsid w:val="1B5653C7"/>
    <w:rsid w:val="1B975ED5"/>
    <w:rsid w:val="1BAF2B27"/>
    <w:rsid w:val="1BDB5D39"/>
    <w:rsid w:val="1C73727A"/>
    <w:rsid w:val="1C7976A4"/>
    <w:rsid w:val="1C8735BD"/>
    <w:rsid w:val="1CF03C2C"/>
    <w:rsid w:val="1D0B0A16"/>
    <w:rsid w:val="1D5E69D0"/>
    <w:rsid w:val="1D650CC3"/>
    <w:rsid w:val="1D9A6DF4"/>
    <w:rsid w:val="1DB1766D"/>
    <w:rsid w:val="1DF36F10"/>
    <w:rsid w:val="1E1A3914"/>
    <w:rsid w:val="1E280E26"/>
    <w:rsid w:val="1E383AA8"/>
    <w:rsid w:val="1EC63D7C"/>
    <w:rsid w:val="1F4D61EB"/>
    <w:rsid w:val="207E6C00"/>
    <w:rsid w:val="20B2740F"/>
    <w:rsid w:val="20E97E61"/>
    <w:rsid w:val="21396CB8"/>
    <w:rsid w:val="21AA7CA6"/>
    <w:rsid w:val="21FF2B6B"/>
    <w:rsid w:val="228A73C5"/>
    <w:rsid w:val="22AA13BA"/>
    <w:rsid w:val="22B15D07"/>
    <w:rsid w:val="22DF7DFC"/>
    <w:rsid w:val="23121934"/>
    <w:rsid w:val="238555C9"/>
    <w:rsid w:val="23A32375"/>
    <w:rsid w:val="245501C2"/>
    <w:rsid w:val="24E07E36"/>
    <w:rsid w:val="25027CEC"/>
    <w:rsid w:val="251A47DB"/>
    <w:rsid w:val="2581273E"/>
    <w:rsid w:val="25D474A1"/>
    <w:rsid w:val="25E01AE5"/>
    <w:rsid w:val="260C0C73"/>
    <w:rsid w:val="263458F1"/>
    <w:rsid w:val="267F4B31"/>
    <w:rsid w:val="2697507B"/>
    <w:rsid w:val="26C679EB"/>
    <w:rsid w:val="270F05DB"/>
    <w:rsid w:val="27240F9C"/>
    <w:rsid w:val="272B664F"/>
    <w:rsid w:val="27BE680B"/>
    <w:rsid w:val="27D0173F"/>
    <w:rsid w:val="281B2B80"/>
    <w:rsid w:val="28227A69"/>
    <w:rsid w:val="28653317"/>
    <w:rsid w:val="28E6016C"/>
    <w:rsid w:val="28E61363"/>
    <w:rsid w:val="28F81A01"/>
    <w:rsid w:val="29630D60"/>
    <w:rsid w:val="29976826"/>
    <w:rsid w:val="2A447D96"/>
    <w:rsid w:val="2A845467"/>
    <w:rsid w:val="2A9C72A1"/>
    <w:rsid w:val="2AC2517E"/>
    <w:rsid w:val="2B0651FF"/>
    <w:rsid w:val="2B8B581A"/>
    <w:rsid w:val="2B8F5E69"/>
    <w:rsid w:val="2BBE7D2C"/>
    <w:rsid w:val="2BE43674"/>
    <w:rsid w:val="2BEE5854"/>
    <w:rsid w:val="2C897AD5"/>
    <w:rsid w:val="2CC64B97"/>
    <w:rsid w:val="2D2C75CF"/>
    <w:rsid w:val="2D4C2D0F"/>
    <w:rsid w:val="2D8C25BE"/>
    <w:rsid w:val="2DD90901"/>
    <w:rsid w:val="2E5D0DE4"/>
    <w:rsid w:val="2EBA6468"/>
    <w:rsid w:val="2ED647A7"/>
    <w:rsid w:val="2ED6546B"/>
    <w:rsid w:val="2ED96FE6"/>
    <w:rsid w:val="2EF8154C"/>
    <w:rsid w:val="2EFD6C01"/>
    <w:rsid w:val="2F4F3840"/>
    <w:rsid w:val="2F9D42C1"/>
    <w:rsid w:val="2FA874B2"/>
    <w:rsid w:val="2FEF61B9"/>
    <w:rsid w:val="304A2B00"/>
    <w:rsid w:val="307562FE"/>
    <w:rsid w:val="308835B0"/>
    <w:rsid w:val="30A17FDC"/>
    <w:rsid w:val="30C1111D"/>
    <w:rsid w:val="30F811AB"/>
    <w:rsid w:val="312253DC"/>
    <w:rsid w:val="313E40CB"/>
    <w:rsid w:val="3186794B"/>
    <w:rsid w:val="318F0C07"/>
    <w:rsid w:val="31AB17D6"/>
    <w:rsid w:val="31DA1D2F"/>
    <w:rsid w:val="31E871BF"/>
    <w:rsid w:val="31F01E96"/>
    <w:rsid w:val="320870E0"/>
    <w:rsid w:val="3210025C"/>
    <w:rsid w:val="322B6B97"/>
    <w:rsid w:val="32352F48"/>
    <w:rsid w:val="32747BA7"/>
    <w:rsid w:val="327E37D8"/>
    <w:rsid w:val="3297664C"/>
    <w:rsid w:val="32B86216"/>
    <w:rsid w:val="32D6021D"/>
    <w:rsid w:val="32D65695"/>
    <w:rsid w:val="32DC5B54"/>
    <w:rsid w:val="335E5AD0"/>
    <w:rsid w:val="33A93E13"/>
    <w:rsid w:val="33ED4BAD"/>
    <w:rsid w:val="345676E2"/>
    <w:rsid w:val="345C691A"/>
    <w:rsid w:val="345E214B"/>
    <w:rsid w:val="34B81CA2"/>
    <w:rsid w:val="34BD1D33"/>
    <w:rsid w:val="34CA61FF"/>
    <w:rsid w:val="356C49C2"/>
    <w:rsid w:val="35714720"/>
    <w:rsid w:val="35DC2BCB"/>
    <w:rsid w:val="35E60492"/>
    <w:rsid w:val="35F1616B"/>
    <w:rsid w:val="3621189E"/>
    <w:rsid w:val="36405BAA"/>
    <w:rsid w:val="36837E96"/>
    <w:rsid w:val="36C74C41"/>
    <w:rsid w:val="36D406A3"/>
    <w:rsid w:val="36E81D5E"/>
    <w:rsid w:val="379F2C44"/>
    <w:rsid w:val="37B23A79"/>
    <w:rsid w:val="385A2575"/>
    <w:rsid w:val="387C43FD"/>
    <w:rsid w:val="387D7DFF"/>
    <w:rsid w:val="38DB08A3"/>
    <w:rsid w:val="392C494E"/>
    <w:rsid w:val="3971511E"/>
    <w:rsid w:val="397C2D3D"/>
    <w:rsid w:val="39AF4AF7"/>
    <w:rsid w:val="3A3E2B20"/>
    <w:rsid w:val="3A815CFC"/>
    <w:rsid w:val="3A8167D4"/>
    <w:rsid w:val="3ADC246A"/>
    <w:rsid w:val="3AE8609C"/>
    <w:rsid w:val="3B502CC1"/>
    <w:rsid w:val="3B516760"/>
    <w:rsid w:val="3B6E6EB4"/>
    <w:rsid w:val="3B6F005A"/>
    <w:rsid w:val="3B9B5000"/>
    <w:rsid w:val="3BB448C9"/>
    <w:rsid w:val="3C1D3384"/>
    <w:rsid w:val="3C2A142C"/>
    <w:rsid w:val="3C816BD0"/>
    <w:rsid w:val="3C8A3F43"/>
    <w:rsid w:val="3CD86AB4"/>
    <w:rsid w:val="3CDA2ACC"/>
    <w:rsid w:val="3CFE08DB"/>
    <w:rsid w:val="3D130709"/>
    <w:rsid w:val="3D690B94"/>
    <w:rsid w:val="3D7A7192"/>
    <w:rsid w:val="3DB40E70"/>
    <w:rsid w:val="3DC55A72"/>
    <w:rsid w:val="3DF66DD0"/>
    <w:rsid w:val="3E0C4CDB"/>
    <w:rsid w:val="3E3B24BF"/>
    <w:rsid w:val="3E6C3FAF"/>
    <w:rsid w:val="3E8E0FDF"/>
    <w:rsid w:val="3EA51E2C"/>
    <w:rsid w:val="3EAC040D"/>
    <w:rsid w:val="3EF34B07"/>
    <w:rsid w:val="3EFC24B8"/>
    <w:rsid w:val="3F514977"/>
    <w:rsid w:val="3F72094D"/>
    <w:rsid w:val="3FC52740"/>
    <w:rsid w:val="401A03CE"/>
    <w:rsid w:val="406D1780"/>
    <w:rsid w:val="40994B36"/>
    <w:rsid w:val="40A832F0"/>
    <w:rsid w:val="40B96DC6"/>
    <w:rsid w:val="411B4824"/>
    <w:rsid w:val="413D5C6F"/>
    <w:rsid w:val="415D7150"/>
    <w:rsid w:val="4181493C"/>
    <w:rsid w:val="41A22AC3"/>
    <w:rsid w:val="41A32C5F"/>
    <w:rsid w:val="41DE0C28"/>
    <w:rsid w:val="42867163"/>
    <w:rsid w:val="428D666A"/>
    <w:rsid w:val="42C579CC"/>
    <w:rsid w:val="42FD155A"/>
    <w:rsid w:val="432870EC"/>
    <w:rsid w:val="434314FE"/>
    <w:rsid w:val="435C52D6"/>
    <w:rsid w:val="43645516"/>
    <w:rsid w:val="439C1706"/>
    <w:rsid w:val="44241DDE"/>
    <w:rsid w:val="44276889"/>
    <w:rsid w:val="44530233"/>
    <w:rsid w:val="44705BE6"/>
    <w:rsid w:val="447E74C7"/>
    <w:rsid w:val="44A53D01"/>
    <w:rsid w:val="44BA30D4"/>
    <w:rsid w:val="44EB798A"/>
    <w:rsid w:val="45613796"/>
    <w:rsid w:val="45642F6A"/>
    <w:rsid w:val="458872C9"/>
    <w:rsid w:val="459C36BB"/>
    <w:rsid w:val="461E1ECD"/>
    <w:rsid w:val="462C0DAB"/>
    <w:rsid w:val="464E293A"/>
    <w:rsid w:val="467D0950"/>
    <w:rsid w:val="46871723"/>
    <w:rsid w:val="469A4E5F"/>
    <w:rsid w:val="470569E4"/>
    <w:rsid w:val="4706752E"/>
    <w:rsid w:val="475E2800"/>
    <w:rsid w:val="47920406"/>
    <w:rsid w:val="47A706EE"/>
    <w:rsid w:val="47DA195B"/>
    <w:rsid w:val="482849A6"/>
    <w:rsid w:val="488A01D5"/>
    <w:rsid w:val="48BC0178"/>
    <w:rsid w:val="490B58A7"/>
    <w:rsid w:val="493C077D"/>
    <w:rsid w:val="49587306"/>
    <w:rsid w:val="4992352C"/>
    <w:rsid w:val="49A9444F"/>
    <w:rsid w:val="49EE28F9"/>
    <w:rsid w:val="4A20103D"/>
    <w:rsid w:val="4A9061CF"/>
    <w:rsid w:val="4A955F53"/>
    <w:rsid w:val="4B144D40"/>
    <w:rsid w:val="4B4107D0"/>
    <w:rsid w:val="4B805A5F"/>
    <w:rsid w:val="4BD950AA"/>
    <w:rsid w:val="4BFD2C74"/>
    <w:rsid w:val="4C0B4F4E"/>
    <w:rsid w:val="4C1140B8"/>
    <w:rsid w:val="4C234937"/>
    <w:rsid w:val="4C272014"/>
    <w:rsid w:val="4C2B36E5"/>
    <w:rsid w:val="4C3D2499"/>
    <w:rsid w:val="4C9E0B90"/>
    <w:rsid w:val="4D092BE4"/>
    <w:rsid w:val="4D81453D"/>
    <w:rsid w:val="4DCB1184"/>
    <w:rsid w:val="4DDD5294"/>
    <w:rsid w:val="4E4F6B19"/>
    <w:rsid w:val="4E8F1021"/>
    <w:rsid w:val="4E960D48"/>
    <w:rsid w:val="4EDE4309"/>
    <w:rsid w:val="4EE707FB"/>
    <w:rsid w:val="4F3E18B2"/>
    <w:rsid w:val="4FB17A29"/>
    <w:rsid w:val="50215D83"/>
    <w:rsid w:val="50BC6011"/>
    <w:rsid w:val="50CB4649"/>
    <w:rsid w:val="50F21CDF"/>
    <w:rsid w:val="51057F79"/>
    <w:rsid w:val="51475CC0"/>
    <w:rsid w:val="51694330"/>
    <w:rsid w:val="51AF698E"/>
    <w:rsid w:val="52441EC5"/>
    <w:rsid w:val="52B51B53"/>
    <w:rsid w:val="52E71FB4"/>
    <w:rsid w:val="53290D20"/>
    <w:rsid w:val="5381122E"/>
    <w:rsid w:val="53B54782"/>
    <w:rsid w:val="547B4879"/>
    <w:rsid w:val="54AA0A30"/>
    <w:rsid w:val="54DB3507"/>
    <w:rsid w:val="55536D0F"/>
    <w:rsid w:val="5572105F"/>
    <w:rsid w:val="55EB77C0"/>
    <w:rsid w:val="562F0357"/>
    <w:rsid w:val="564F69B6"/>
    <w:rsid w:val="566E1BF3"/>
    <w:rsid w:val="569F775B"/>
    <w:rsid w:val="57303A7C"/>
    <w:rsid w:val="57481A8E"/>
    <w:rsid w:val="58337254"/>
    <w:rsid w:val="58E00C77"/>
    <w:rsid w:val="58E13425"/>
    <w:rsid w:val="58E33120"/>
    <w:rsid w:val="591F6F5B"/>
    <w:rsid w:val="5942283A"/>
    <w:rsid w:val="59536481"/>
    <w:rsid w:val="59AD0C40"/>
    <w:rsid w:val="59AD1538"/>
    <w:rsid w:val="59C23FD3"/>
    <w:rsid w:val="5A0B5E95"/>
    <w:rsid w:val="5A246F57"/>
    <w:rsid w:val="5A377F44"/>
    <w:rsid w:val="5A742D4C"/>
    <w:rsid w:val="5ABE444B"/>
    <w:rsid w:val="5AC07CB3"/>
    <w:rsid w:val="5ACA6272"/>
    <w:rsid w:val="5AF00B1A"/>
    <w:rsid w:val="5AF95A23"/>
    <w:rsid w:val="5B4E0B38"/>
    <w:rsid w:val="5B53497E"/>
    <w:rsid w:val="5B5E75EC"/>
    <w:rsid w:val="5B9613B7"/>
    <w:rsid w:val="5BCB44AB"/>
    <w:rsid w:val="5BE96D14"/>
    <w:rsid w:val="5BF13CF3"/>
    <w:rsid w:val="5C0B776D"/>
    <w:rsid w:val="5C2B273D"/>
    <w:rsid w:val="5C8C55D5"/>
    <w:rsid w:val="5CBF18BC"/>
    <w:rsid w:val="5CD428E9"/>
    <w:rsid w:val="5CF07939"/>
    <w:rsid w:val="5D2802F3"/>
    <w:rsid w:val="5D80343C"/>
    <w:rsid w:val="5DC504EC"/>
    <w:rsid w:val="5DE41E13"/>
    <w:rsid w:val="5E022EA9"/>
    <w:rsid w:val="5E164D40"/>
    <w:rsid w:val="5E347809"/>
    <w:rsid w:val="5EA1196F"/>
    <w:rsid w:val="5EBA0F5F"/>
    <w:rsid w:val="5EEA4CD2"/>
    <w:rsid w:val="5F1F06B8"/>
    <w:rsid w:val="5F4F7A12"/>
    <w:rsid w:val="5F9C495E"/>
    <w:rsid w:val="5FEE613D"/>
    <w:rsid w:val="60A239C9"/>
    <w:rsid w:val="60FA6D79"/>
    <w:rsid w:val="613A17BA"/>
    <w:rsid w:val="617F1A46"/>
    <w:rsid w:val="61D21156"/>
    <w:rsid w:val="62184B39"/>
    <w:rsid w:val="6269026E"/>
    <w:rsid w:val="626D1426"/>
    <w:rsid w:val="62734D42"/>
    <w:rsid w:val="62AE13F1"/>
    <w:rsid w:val="62C74C67"/>
    <w:rsid w:val="637558D0"/>
    <w:rsid w:val="637B5306"/>
    <w:rsid w:val="63851CFD"/>
    <w:rsid w:val="63B12810"/>
    <w:rsid w:val="64134E32"/>
    <w:rsid w:val="646C2B04"/>
    <w:rsid w:val="648E709F"/>
    <w:rsid w:val="6530763D"/>
    <w:rsid w:val="654415B0"/>
    <w:rsid w:val="6585670A"/>
    <w:rsid w:val="66257BD6"/>
    <w:rsid w:val="667C7C00"/>
    <w:rsid w:val="668E1C3C"/>
    <w:rsid w:val="66B35B2C"/>
    <w:rsid w:val="66F44120"/>
    <w:rsid w:val="66FD4B1A"/>
    <w:rsid w:val="67023CC4"/>
    <w:rsid w:val="676B1BF6"/>
    <w:rsid w:val="676C2CBF"/>
    <w:rsid w:val="67A24F7E"/>
    <w:rsid w:val="68107504"/>
    <w:rsid w:val="68BF756D"/>
    <w:rsid w:val="68CE27BB"/>
    <w:rsid w:val="691F09A3"/>
    <w:rsid w:val="69323823"/>
    <w:rsid w:val="69500604"/>
    <w:rsid w:val="69524DAB"/>
    <w:rsid w:val="696D08E0"/>
    <w:rsid w:val="69C15A14"/>
    <w:rsid w:val="69CC2B0F"/>
    <w:rsid w:val="6A07518F"/>
    <w:rsid w:val="6A8848D8"/>
    <w:rsid w:val="6A9C6D27"/>
    <w:rsid w:val="6ABE7EC6"/>
    <w:rsid w:val="6AC10B58"/>
    <w:rsid w:val="6B526234"/>
    <w:rsid w:val="6B8954B5"/>
    <w:rsid w:val="6B981255"/>
    <w:rsid w:val="6BB721CD"/>
    <w:rsid w:val="6BDF5F4E"/>
    <w:rsid w:val="6C50014D"/>
    <w:rsid w:val="6C597288"/>
    <w:rsid w:val="6C612D7E"/>
    <w:rsid w:val="6C9D1BCF"/>
    <w:rsid w:val="6CE665B1"/>
    <w:rsid w:val="6D316530"/>
    <w:rsid w:val="6D3470DE"/>
    <w:rsid w:val="6D456BD7"/>
    <w:rsid w:val="6D914092"/>
    <w:rsid w:val="6D9B3A9B"/>
    <w:rsid w:val="6DA00ED8"/>
    <w:rsid w:val="6DA2067F"/>
    <w:rsid w:val="6E7C7DEA"/>
    <w:rsid w:val="6ECE2628"/>
    <w:rsid w:val="6EDC23DD"/>
    <w:rsid w:val="6F0F18E5"/>
    <w:rsid w:val="6F165DBC"/>
    <w:rsid w:val="6F364B5F"/>
    <w:rsid w:val="6F3E4050"/>
    <w:rsid w:val="6F5B5650"/>
    <w:rsid w:val="6F660F70"/>
    <w:rsid w:val="6FA230E5"/>
    <w:rsid w:val="6FA37BFA"/>
    <w:rsid w:val="7064178D"/>
    <w:rsid w:val="70AD0488"/>
    <w:rsid w:val="70F161A9"/>
    <w:rsid w:val="713E6EBD"/>
    <w:rsid w:val="714E09F3"/>
    <w:rsid w:val="717362D3"/>
    <w:rsid w:val="71FA1C5E"/>
    <w:rsid w:val="72054BED"/>
    <w:rsid w:val="720B608D"/>
    <w:rsid w:val="72323F70"/>
    <w:rsid w:val="72422A0F"/>
    <w:rsid w:val="72640173"/>
    <w:rsid w:val="726677D6"/>
    <w:rsid w:val="727339A9"/>
    <w:rsid w:val="7342596D"/>
    <w:rsid w:val="739D07C0"/>
    <w:rsid w:val="73A96C48"/>
    <w:rsid w:val="73FB01D1"/>
    <w:rsid w:val="743301F6"/>
    <w:rsid w:val="74527DA5"/>
    <w:rsid w:val="747A784B"/>
    <w:rsid w:val="748847CC"/>
    <w:rsid w:val="74B843B3"/>
    <w:rsid w:val="74C42FDE"/>
    <w:rsid w:val="74DA7702"/>
    <w:rsid w:val="74F40C13"/>
    <w:rsid w:val="75127471"/>
    <w:rsid w:val="751471B8"/>
    <w:rsid w:val="75FA352D"/>
    <w:rsid w:val="767D2049"/>
    <w:rsid w:val="768207A5"/>
    <w:rsid w:val="76A2179B"/>
    <w:rsid w:val="76BF2C08"/>
    <w:rsid w:val="76D51348"/>
    <w:rsid w:val="76D66050"/>
    <w:rsid w:val="76E23624"/>
    <w:rsid w:val="770352EE"/>
    <w:rsid w:val="77565832"/>
    <w:rsid w:val="776E4150"/>
    <w:rsid w:val="77890BDB"/>
    <w:rsid w:val="779450CA"/>
    <w:rsid w:val="77D3660D"/>
    <w:rsid w:val="781D75D8"/>
    <w:rsid w:val="785437D3"/>
    <w:rsid w:val="78565AAF"/>
    <w:rsid w:val="78BE7CBA"/>
    <w:rsid w:val="78DD3131"/>
    <w:rsid w:val="7923280B"/>
    <w:rsid w:val="792C74DC"/>
    <w:rsid w:val="79430348"/>
    <w:rsid w:val="79701A39"/>
    <w:rsid w:val="7A082988"/>
    <w:rsid w:val="7A1C10FB"/>
    <w:rsid w:val="7A424D7F"/>
    <w:rsid w:val="7A4D4FC3"/>
    <w:rsid w:val="7A734F85"/>
    <w:rsid w:val="7AA0651A"/>
    <w:rsid w:val="7AB87EDD"/>
    <w:rsid w:val="7AE64B83"/>
    <w:rsid w:val="7AF004A5"/>
    <w:rsid w:val="7B002162"/>
    <w:rsid w:val="7B124FB7"/>
    <w:rsid w:val="7B361A8A"/>
    <w:rsid w:val="7BAE5A06"/>
    <w:rsid w:val="7BC21C08"/>
    <w:rsid w:val="7BDF1C40"/>
    <w:rsid w:val="7C4E7E2A"/>
    <w:rsid w:val="7CB818B8"/>
    <w:rsid w:val="7CD50713"/>
    <w:rsid w:val="7D8C5E76"/>
    <w:rsid w:val="7DA0352B"/>
    <w:rsid w:val="7DAB1884"/>
    <w:rsid w:val="7DB019FA"/>
    <w:rsid w:val="7DCC7103"/>
    <w:rsid w:val="7DDB2B1D"/>
    <w:rsid w:val="7E2B083A"/>
    <w:rsid w:val="7E8D32EE"/>
    <w:rsid w:val="7E8E0310"/>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0B8B68-F93C-4C7E-8CD4-4991218C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annotation subject"/>
    <w:basedOn w:val="a4"/>
    <w:next w:val="a4"/>
    <w:link w:val="Char5"/>
    <w:qFormat/>
    <w:rPr>
      <w:b/>
      <w:bCs/>
    </w:rPr>
  </w:style>
  <w:style w:type="table" w:styleId="ab">
    <w:name w:val="Table Grid"/>
    <w:basedOn w:val="a1"/>
    <w:qFormat/>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character" w:customStyle="1" w:styleId="1Char">
    <w:name w:val="标题 1 Char"/>
    <w:basedOn w:val="a0"/>
    <w:link w:val="1"/>
    <w:qFormat/>
    <w:rPr>
      <w:rFonts w:ascii="Arial" w:eastAsia="Times New Roman" w:hAnsi="Arial" w:cs="Arial"/>
      <w:sz w:val="36"/>
      <w:szCs w:val="36"/>
      <w:lang w:val="en-GB"/>
    </w:rPr>
  </w:style>
  <w:style w:type="paragraph" w:customStyle="1" w:styleId="B1">
    <w:name w:val="B1"/>
    <w:basedOn w:val="a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3.png"/><Relationship Id="rId39" Type="http://schemas.openxmlformats.org/officeDocument/2006/relationships/image" Target="media/image22.png"/><Relationship Id="rId21" Type="http://schemas.openxmlformats.org/officeDocument/2006/relationships/image" Target="media/image8.png"/><Relationship Id="rId34" Type="http://schemas.openxmlformats.org/officeDocument/2006/relationships/oleObject" Target="embeddings/oleObject8.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png"/><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0.w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oleObject" Target="embeddings/oleObject6.bin"/><Relationship Id="rId30" Type="http://schemas.openxmlformats.org/officeDocument/2006/relationships/image" Target="media/image16.png"/><Relationship Id="rId35" Type="http://schemas.openxmlformats.org/officeDocument/2006/relationships/image" Target="media/image19.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2.png"/><Relationship Id="rId33" Type="http://schemas.openxmlformats.org/officeDocument/2006/relationships/image" Target="media/image18.wmf"/><Relationship Id="rId38"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83E18-0048-4435-B0B0-BDA544233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3701</Words>
  <Characters>21099</Characters>
  <Application>Microsoft Office Word</Application>
  <DocSecurity>0</DocSecurity>
  <Lines>175</Lines>
  <Paragraphs>49</Paragraphs>
  <ScaleCrop>false</ScaleCrop>
  <Company/>
  <LinksUpToDate>false</LinksUpToDate>
  <CharactersWithSpaces>24751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542</cp:revision>
  <dcterms:created xsi:type="dcterms:W3CDTF">2020-08-05T10:28:00Z</dcterms:created>
  <dcterms:modified xsi:type="dcterms:W3CDTF">2021-08-06T07:22:00Z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